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B55E" w14:textId="3FD15327" w:rsidR="000A234A" w:rsidRDefault="005D4F8C" w:rsidP="005D3AB6">
      <w:pPr>
        <w:pStyle w:val="Heading1"/>
      </w:pPr>
      <w:r>
        <w:t xml:space="preserve">spa/hot tub installations </w:t>
      </w:r>
      <w:r w:rsidR="00D7797D">
        <w:t>–</w:t>
      </w:r>
      <w:r>
        <w:t xml:space="preserve"> residential</w:t>
      </w:r>
    </w:p>
    <w:p w14:paraId="42299D82" w14:textId="1AED958F" w:rsidR="00E75D64" w:rsidRDefault="00D072D3" w:rsidP="00B311C0">
      <w:pPr>
        <w:pStyle w:val="Heading2"/>
      </w:pPr>
      <w:r>
        <w:t>Overview</w:t>
      </w:r>
      <w:r w:rsidR="00A45EFD" w:rsidRPr="00B311C0">
        <w:t>:</w:t>
      </w:r>
    </w:p>
    <w:p w14:paraId="6D9B1BEE" w14:textId="17E44222" w:rsidR="00D072D3" w:rsidRPr="00D072D3" w:rsidRDefault="00D072D3" w:rsidP="004D0621">
      <w:pPr>
        <w:spacing w:before="240" w:after="240"/>
      </w:pPr>
      <w:r>
        <w:t xml:space="preserve">This handout is intended to provide important information for spa/hot tub installations. Adherence to the electrical and building code citations noted herein is crucial to ensure that critical life safety items are proactively addressed. All electrical contractors involved in the installation of a spa or hot tub are required to be </w:t>
      </w:r>
      <w:proofErr w:type="gramStart"/>
      <w:r>
        <w:t>licensed per</w:t>
      </w:r>
      <w:proofErr w:type="gramEnd"/>
      <w:r>
        <w:t xml:space="preserve"> Idaho State Code and obtain permits prior to beginning any work. Having a </w:t>
      </w:r>
      <w:r w:rsidR="00D529E8">
        <w:t>qualified, licensed electrical contractor helps to reduce the liability for spa/hot tub suppliers, and the installers they recommend. By having a legally permitted and inspected spa/hot tub installation</w:t>
      </w:r>
      <w:r w:rsidR="00F820BA">
        <w:t xml:space="preserve">, the homeowners and others who use the equipment can be assured that the installation is safe. Upon delivery of a hot tub, the location and placement are critical, and often never considered. There are </w:t>
      </w:r>
      <w:proofErr w:type="gramStart"/>
      <w:r w:rsidR="00F820BA">
        <w:t>serious life</w:t>
      </w:r>
      <w:proofErr w:type="gramEnd"/>
      <w:r w:rsidR="00F820BA">
        <w:t xml:space="preserve"> safety concerns given the relationship to water, electricity and the glass in nearby windows and doors.</w:t>
      </w:r>
    </w:p>
    <w:p w14:paraId="3D08A78E" w14:textId="13A5C4C7" w:rsidR="00EA3375" w:rsidRDefault="002F07C2" w:rsidP="004D0621">
      <w:pPr>
        <w:pStyle w:val="Heading2"/>
      </w:pPr>
      <w:r>
        <w:t>New Construction</w:t>
      </w:r>
      <w:r w:rsidR="000A234A" w:rsidRPr="00B311C0">
        <w:t>:</w:t>
      </w:r>
    </w:p>
    <w:p w14:paraId="13830EE8" w14:textId="4C28EFFD" w:rsidR="00FD2AE5" w:rsidRDefault="004D0621" w:rsidP="004D0621">
      <w:pPr>
        <w:spacing w:before="240" w:after="240"/>
      </w:pPr>
      <w:r w:rsidRPr="00532930">
        <w:rPr>
          <w:b/>
          <w:bCs/>
        </w:rPr>
        <w:t>Given:</w:t>
      </w:r>
      <w:r>
        <w:t xml:space="preserve"> A hot</w:t>
      </w:r>
      <w:r w:rsidR="00C85DCB">
        <w:t xml:space="preserve"> tub is to be installed </w:t>
      </w:r>
      <w:proofErr w:type="gramStart"/>
      <w:r w:rsidR="00C85DCB">
        <w:t>at a later date</w:t>
      </w:r>
      <w:proofErr w:type="gramEnd"/>
      <w:r w:rsidR="00C85DCB">
        <w:t xml:space="preserve"> (unknown). As part of the main residential electrical permit, a “pre-wired” or “future circuit” may be roughed </w:t>
      </w:r>
      <w:proofErr w:type="gramStart"/>
      <w:r w:rsidR="00C85DCB">
        <w:t>in, and</w:t>
      </w:r>
      <w:proofErr w:type="gramEnd"/>
      <w:r w:rsidR="00C85DCB">
        <w:t xml:space="preserve"> shall be inspected to meet minimum National Electrical</w:t>
      </w:r>
      <w:r w:rsidR="00BA02B3">
        <w:t xml:space="preserve"> Code (NEC) requirements during construction. A separate hot tub permit is </w:t>
      </w:r>
      <w:r w:rsidR="00BA02B3" w:rsidRPr="00BA02B3">
        <w:rPr>
          <w:u w:val="single"/>
        </w:rPr>
        <w:t xml:space="preserve">NOT required </w:t>
      </w:r>
      <w:proofErr w:type="gramStart"/>
      <w:r w:rsidR="00BA02B3" w:rsidRPr="00BA02B3">
        <w:rPr>
          <w:u w:val="single"/>
        </w:rPr>
        <w:t>at this point in time</w:t>
      </w:r>
      <w:proofErr w:type="gramEnd"/>
      <w:r w:rsidR="00BA02B3">
        <w:t xml:space="preserve">. Since the hot tub location is not known, future location or placement does not need to be identified in advance. It is strongly recommended that </w:t>
      </w:r>
      <w:proofErr w:type="gramStart"/>
      <w:r w:rsidR="00BA02B3">
        <w:t>one inch</w:t>
      </w:r>
      <w:proofErr w:type="gramEnd"/>
      <w:r w:rsidR="00BA02B3">
        <w:t xml:space="preserve"> electrical metallic tubing (1” EMT conduit) is installed and/or adequate size feeder wire in copper or aluminum, for </w:t>
      </w:r>
      <w:r w:rsidR="00BA02B3" w:rsidRPr="00BA02B3">
        <w:rPr>
          <w:b/>
          <w:bCs/>
        </w:rPr>
        <w:t>any</w:t>
      </w:r>
      <w:r w:rsidR="00BA02B3">
        <w:t xml:space="preserve"> hot tub that could potentially be installed;</w:t>
      </w:r>
      <w:r w:rsidR="00B40261">
        <w:t xml:space="preserve"> the number of motors, full load amps and actual breaker size of the equipment is not known. This will reduce risk of improper wire sizing and potential removal. </w:t>
      </w:r>
      <w:r w:rsidR="00B40261" w:rsidRPr="00FD2AE5">
        <w:rPr>
          <w:u w:val="single"/>
        </w:rPr>
        <w:t>A separate electrical permit is required separately for the actual hot tub installation and wiring into the “pre-wired or future” circuit</w:t>
      </w:r>
      <w:r w:rsidR="00FD2AE5" w:rsidRPr="00FD2AE5">
        <w:rPr>
          <w:u w:val="single"/>
        </w:rPr>
        <w:t xml:space="preserve"> that was previously installed</w:t>
      </w:r>
      <w:r w:rsidR="00FD2AE5">
        <w:t>.</w:t>
      </w:r>
    </w:p>
    <w:p w14:paraId="5BC12E4F" w14:textId="36806522" w:rsidR="00FD2AE5" w:rsidRDefault="00FD2AE5" w:rsidP="004D0621">
      <w:pPr>
        <w:spacing w:before="240" w:after="240"/>
      </w:pPr>
      <w:r>
        <w:t>Hot tubs are usually always placed too close to doors and windows (non-safety glass), too close to the “future” main disconnect, and too close to receptacles, lights, fans, and other metal parts that require grounding &amp; bonding</w:t>
      </w:r>
      <w:r w:rsidR="00827E1B">
        <w:t xml:space="preserve"> due to proximity to water. This presents challenges for homeowners and inspectors as many code sections are violated.</w:t>
      </w:r>
    </w:p>
    <w:p w14:paraId="05D75243" w14:textId="31622E87" w:rsidR="00A26B0D" w:rsidRDefault="00A26B0D" w:rsidP="004D0621">
      <w:pPr>
        <w:spacing w:before="240" w:after="240"/>
      </w:pPr>
      <w:r>
        <w:lastRenderedPageBreak/>
        <w:t xml:space="preserve">Hot tubs are technical installations which require a </w:t>
      </w:r>
      <w:proofErr w:type="gramStart"/>
      <w:r>
        <w:t>good licensed</w:t>
      </w:r>
      <w:proofErr w:type="gramEnd"/>
      <w:r>
        <w:t xml:space="preserve"> electrical contractor with experience, to help the process go smoothly. Safety around water, glass, and elec</w:t>
      </w:r>
      <w:r w:rsidR="007975D0">
        <w:t>tricity is essential.</w:t>
      </w:r>
    </w:p>
    <w:p w14:paraId="7187E52B" w14:textId="21B4BFAA" w:rsidR="007975D0" w:rsidRDefault="007975D0" w:rsidP="004D0621">
      <w:pPr>
        <w:spacing w:before="240" w:after="240"/>
      </w:pPr>
      <w:r>
        <w:t>Please review and familiarize yourself with the 2017 NEC and the 2009 International Residential Code (IRC)</w:t>
      </w:r>
      <w:r w:rsidR="00157A82">
        <w:t xml:space="preserve"> listed in this document.</w:t>
      </w:r>
    </w:p>
    <w:p w14:paraId="0BF69AD1" w14:textId="3A65ADD5" w:rsidR="00157A82" w:rsidRDefault="00157A82" w:rsidP="00157A82">
      <w:pPr>
        <w:pStyle w:val="Heading2"/>
      </w:pPr>
      <w:r>
        <w:t>National Electrical Code and International Residential Code References:</w:t>
      </w:r>
    </w:p>
    <w:p w14:paraId="165032B0" w14:textId="29E0FD4C" w:rsidR="009526D2" w:rsidRDefault="00570E62" w:rsidP="009526D2">
      <w:pPr>
        <w:pStyle w:val="ListParagraph"/>
        <w:numPr>
          <w:ilvl w:val="0"/>
          <w:numId w:val="10"/>
        </w:numPr>
        <w:spacing w:before="240" w:after="240"/>
      </w:pPr>
      <w:r>
        <w:t>NEC Article 680 part IV: Spas and Hot Tubs</w:t>
      </w:r>
      <w:r w:rsidR="00E42287">
        <w:t xml:space="preserve"> </w:t>
      </w:r>
    </w:p>
    <w:p w14:paraId="3109089F" w14:textId="00E9D37D" w:rsidR="009526D2" w:rsidRDefault="00895F29" w:rsidP="009526D2">
      <w:pPr>
        <w:pStyle w:val="ListParagraph"/>
        <w:numPr>
          <w:ilvl w:val="1"/>
          <w:numId w:val="10"/>
        </w:numPr>
        <w:spacing w:before="240" w:after="240"/>
      </w:pPr>
      <w:r>
        <w:t>This code states:</w:t>
      </w:r>
      <w:r w:rsidR="007E0B22">
        <w:t xml:space="preserve"> a spa or hot tub installed outdoors shall comply with the provisions of parts 1 and 2 of article 680, except as permitted in 680.42</w:t>
      </w:r>
      <w:r w:rsidR="00550F73">
        <w:t>(A) and (B) that would otherwise apply to pools installed outdoors.</w:t>
      </w:r>
    </w:p>
    <w:p w14:paraId="34971EA8" w14:textId="22F4BE37" w:rsidR="0088372B" w:rsidRDefault="0088372B" w:rsidP="009526D2">
      <w:pPr>
        <w:pStyle w:val="ListParagraph"/>
        <w:numPr>
          <w:ilvl w:val="1"/>
          <w:numId w:val="10"/>
        </w:numPr>
        <w:spacing w:before="240" w:after="240"/>
      </w:pPr>
      <w:r>
        <w:t>This</w:t>
      </w:r>
      <w:r w:rsidR="00895F29">
        <w:t xml:space="preserve"> code</w:t>
      </w:r>
      <w:r>
        <w:t xml:space="preserve"> </w:t>
      </w:r>
      <w:r w:rsidR="00D44ACD">
        <w:t xml:space="preserve">is important to note because it </w:t>
      </w:r>
      <w:r w:rsidR="00E42287">
        <w:t xml:space="preserve">brings the entirety of part 1 and 2 covering </w:t>
      </w:r>
      <w:proofErr w:type="gramStart"/>
      <w:r w:rsidR="00E42287">
        <w:t>pools,</w:t>
      </w:r>
      <w:proofErr w:type="gramEnd"/>
      <w:r w:rsidR="00E42287">
        <w:t xml:space="preserve"> into the requirements for hot tubs and is often overlooked</w:t>
      </w:r>
      <w:r w:rsidR="006B1451">
        <w:t>.</w:t>
      </w:r>
    </w:p>
    <w:p w14:paraId="3D0259B9" w14:textId="170EC238" w:rsidR="00895F29" w:rsidRDefault="00895F29" w:rsidP="00895F29">
      <w:pPr>
        <w:pStyle w:val="ListParagraph"/>
        <w:numPr>
          <w:ilvl w:val="0"/>
          <w:numId w:val="10"/>
        </w:numPr>
        <w:spacing w:before="240" w:after="240"/>
      </w:pPr>
      <w:r>
        <w:t>NEC 300.4</w:t>
      </w:r>
      <w:r w:rsidR="00E25161">
        <w:t>: Protection against physical damage</w:t>
      </w:r>
    </w:p>
    <w:p w14:paraId="56523B25" w14:textId="46A69F1D" w:rsidR="00B15173" w:rsidRDefault="00B15173" w:rsidP="00B15173">
      <w:pPr>
        <w:pStyle w:val="ListParagraph"/>
        <w:numPr>
          <w:ilvl w:val="1"/>
          <w:numId w:val="10"/>
        </w:numPr>
        <w:spacing w:before="240" w:after="240"/>
      </w:pPr>
      <w:r>
        <w:t xml:space="preserve">This code states: </w:t>
      </w:r>
      <w:r w:rsidR="00367213">
        <w:t>w</w:t>
      </w:r>
      <w:r>
        <w:t>here subject to physical damage, conductors shall be protected</w:t>
      </w:r>
      <w:r w:rsidR="006B1451">
        <w:t>.</w:t>
      </w:r>
    </w:p>
    <w:p w14:paraId="5E4DF4A3" w14:textId="779C292C" w:rsidR="00A72664" w:rsidRDefault="00A72664" w:rsidP="00B15173">
      <w:pPr>
        <w:pStyle w:val="ListParagraph"/>
        <w:numPr>
          <w:ilvl w:val="1"/>
          <w:numId w:val="10"/>
        </w:numPr>
        <w:spacing w:before="240" w:after="240"/>
      </w:pPr>
      <w:r>
        <w:t xml:space="preserve">This code is important </w:t>
      </w:r>
      <w:r w:rsidR="00452C4A">
        <w:rPr>
          <w:rStyle w:val="SubtleEmphasis"/>
          <w:i w:val="0"/>
          <w:iCs w:val="0"/>
          <w:color w:val="auto"/>
        </w:rPr>
        <w:t>to note</w:t>
      </w:r>
      <w:r w:rsidR="00452C4A">
        <w:t xml:space="preserve"> </w:t>
      </w:r>
      <w:r>
        <w:t>because conductors are often placed</w:t>
      </w:r>
      <w:r w:rsidR="00E07702">
        <w:t xml:space="preserve"> on concrete surfaces where they may be walked on, or in areas where they may be hit by lawn equipment</w:t>
      </w:r>
      <w:r w:rsidR="006B1451">
        <w:t>.</w:t>
      </w:r>
    </w:p>
    <w:p w14:paraId="6B8FB816" w14:textId="77777777" w:rsidR="003B7724" w:rsidRDefault="00FA1858" w:rsidP="00FA1858">
      <w:pPr>
        <w:pStyle w:val="ListParagraph"/>
        <w:numPr>
          <w:ilvl w:val="0"/>
          <w:numId w:val="10"/>
        </w:numPr>
        <w:spacing w:before="240" w:after="240"/>
      </w:pPr>
      <w:r>
        <w:t>NEC 350.12(1) and 356.12(1)</w:t>
      </w:r>
    </w:p>
    <w:p w14:paraId="0B2081BF" w14:textId="17E0595A" w:rsidR="00FA1858" w:rsidRDefault="00E53D7B" w:rsidP="003B7724">
      <w:pPr>
        <w:pStyle w:val="ListParagraph"/>
        <w:numPr>
          <w:ilvl w:val="1"/>
          <w:numId w:val="10"/>
        </w:numPr>
        <w:spacing w:before="240" w:after="240"/>
      </w:pPr>
      <w:r>
        <w:t xml:space="preserve">This code </w:t>
      </w:r>
      <w:r w:rsidR="0063340A">
        <w:t>states: l</w:t>
      </w:r>
      <w:r w:rsidR="00FA1858">
        <w:t>iquid-tight flexible me</w:t>
      </w:r>
      <w:r w:rsidR="003B7724">
        <w:t>tal conduit (LFMC) and flexible non-metallic conduit (LFNC) shall not be used where subject to physical damage</w:t>
      </w:r>
      <w:r w:rsidR="006B1451">
        <w:t>.</w:t>
      </w:r>
    </w:p>
    <w:p w14:paraId="2F32F709" w14:textId="7E489FD6" w:rsidR="002E257D" w:rsidRDefault="002E257D" w:rsidP="006B1451">
      <w:pPr>
        <w:pStyle w:val="ListParagraph"/>
        <w:numPr>
          <w:ilvl w:val="0"/>
          <w:numId w:val="10"/>
        </w:numPr>
        <w:spacing w:before="240" w:after="240"/>
      </w:pPr>
      <w:r>
        <w:t>NEC</w:t>
      </w:r>
      <w:r w:rsidR="00E80079">
        <w:t xml:space="preserve"> 680.42(A)(1): LFMC and LFNC</w:t>
      </w:r>
    </w:p>
    <w:p w14:paraId="0D8FDB7E" w14:textId="14FC7114" w:rsidR="00E80079" w:rsidRDefault="00E80079" w:rsidP="00E80079">
      <w:pPr>
        <w:pStyle w:val="ListParagraph"/>
        <w:numPr>
          <w:ilvl w:val="1"/>
          <w:numId w:val="10"/>
        </w:numPr>
        <w:spacing w:before="240" w:after="240"/>
      </w:pPr>
      <w:r>
        <w:t>This code is important to note because flex is often installed in areas subject to physical damage, which is prohibited by the NEC.</w:t>
      </w:r>
    </w:p>
    <w:p w14:paraId="2074A4EF" w14:textId="5398FD1C" w:rsidR="006B1451" w:rsidRDefault="006B1451" w:rsidP="006B1451">
      <w:pPr>
        <w:pStyle w:val="ListParagraph"/>
        <w:numPr>
          <w:ilvl w:val="0"/>
          <w:numId w:val="10"/>
        </w:numPr>
        <w:spacing w:before="240" w:after="240"/>
      </w:pPr>
      <w:r>
        <w:t>NEC 680.13</w:t>
      </w:r>
      <w:r w:rsidR="000B36B8">
        <w:t>: Maintenance Disconnecting Means</w:t>
      </w:r>
    </w:p>
    <w:p w14:paraId="2CDFC304" w14:textId="682ADA97" w:rsidR="000B36B8" w:rsidRDefault="000B36B8" w:rsidP="000B36B8">
      <w:pPr>
        <w:pStyle w:val="ListParagraph"/>
        <w:numPr>
          <w:ilvl w:val="1"/>
          <w:numId w:val="10"/>
        </w:numPr>
        <w:spacing w:before="240" w:after="240"/>
      </w:pPr>
      <w:r>
        <w:t>This code states: one or m</w:t>
      </w:r>
      <w:r w:rsidR="00497452">
        <w:t xml:space="preserve">ore means to simultaneously disconnect all ungrounded conductors shall be provided for all utilization equipment other than lighting. Each </w:t>
      </w:r>
      <w:proofErr w:type="gramStart"/>
      <w:r w:rsidR="00497452">
        <w:t>means</w:t>
      </w:r>
      <w:proofErr w:type="gramEnd"/>
      <w:r w:rsidR="00497452">
        <w:t xml:space="preserve"> </w:t>
      </w:r>
      <w:proofErr w:type="gramStart"/>
      <w:r w:rsidR="00497452">
        <w:t>shall</w:t>
      </w:r>
      <w:proofErr w:type="gramEnd"/>
      <w:r w:rsidR="00497452">
        <w:t xml:space="preserve"> be readily accessible and within sight </w:t>
      </w:r>
      <w:proofErr w:type="gramStart"/>
      <w:r w:rsidR="00497452">
        <w:t>from</w:t>
      </w:r>
      <w:proofErr w:type="gramEnd"/>
      <w:r w:rsidR="00497452">
        <w:t xml:space="preserve"> its </w:t>
      </w:r>
      <w:proofErr w:type="gramStart"/>
      <w:r w:rsidR="00497452">
        <w:t>equipment, and</w:t>
      </w:r>
      <w:proofErr w:type="gramEnd"/>
      <w:r w:rsidR="00497452">
        <w:t xml:space="preserve"> shall be located at least </w:t>
      </w:r>
      <w:proofErr w:type="gramStart"/>
      <w:r w:rsidR="00497452">
        <w:t>5-feet</w:t>
      </w:r>
      <w:proofErr w:type="gramEnd"/>
      <w:r w:rsidR="00497452">
        <w:t xml:space="preserve"> horizontally from the inside wall of a pool, spa or hot tub.</w:t>
      </w:r>
    </w:p>
    <w:p w14:paraId="4E8FD0E5" w14:textId="0BDE3390" w:rsidR="00497452" w:rsidRDefault="00497452" w:rsidP="000B36B8">
      <w:pPr>
        <w:pStyle w:val="ListParagraph"/>
        <w:numPr>
          <w:ilvl w:val="1"/>
          <w:numId w:val="10"/>
        </w:numPr>
        <w:spacing w:before="240" w:after="240"/>
      </w:pPr>
      <w:r>
        <w:t>This</w:t>
      </w:r>
      <w:r w:rsidR="00A44925">
        <w:t xml:space="preserve"> code is important </w:t>
      </w:r>
      <w:r w:rsidR="00452C4A">
        <w:rPr>
          <w:rStyle w:val="SubtleEmphasis"/>
          <w:i w:val="0"/>
          <w:iCs w:val="0"/>
          <w:color w:val="auto"/>
        </w:rPr>
        <w:t>to note</w:t>
      </w:r>
      <w:r w:rsidR="00452C4A">
        <w:t xml:space="preserve"> </w:t>
      </w:r>
      <w:r w:rsidR="00A44925">
        <w:t>because equipment is usually inside the hot tub enclosure and typically accessible from only one side of the hot tub. The access door and equipment must be within sight of the disconnect. It is usually best to face the access door</w:t>
      </w:r>
      <w:r w:rsidR="003D6E51">
        <w:t xml:space="preserve"> in direct line-of-sight with the disconnect,</w:t>
      </w:r>
      <w:r w:rsidR="007B47AA">
        <w:t xml:space="preserve"> </w:t>
      </w:r>
      <w:r w:rsidR="003D6E51">
        <w:t>so the hot tub pumps and motors are visible from the disconnect, and the disconnect is visible from the motors and access door.</w:t>
      </w:r>
    </w:p>
    <w:p w14:paraId="46C730FB" w14:textId="29340F76" w:rsidR="000B2A5F" w:rsidRDefault="005F645E" w:rsidP="000B2A5F">
      <w:pPr>
        <w:pStyle w:val="ListParagraph"/>
        <w:numPr>
          <w:ilvl w:val="0"/>
          <w:numId w:val="10"/>
        </w:numPr>
        <w:spacing w:before="240" w:after="240"/>
      </w:pPr>
      <w:r>
        <w:br w:type="column"/>
      </w:r>
      <w:r w:rsidR="000B2A5F">
        <w:lastRenderedPageBreak/>
        <w:t>NEC 680.44: Protection</w:t>
      </w:r>
    </w:p>
    <w:p w14:paraId="4CA8679F" w14:textId="45E2EE19" w:rsidR="00764CDA" w:rsidRDefault="00764CDA" w:rsidP="00764CDA">
      <w:pPr>
        <w:pStyle w:val="ListParagraph"/>
        <w:numPr>
          <w:ilvl w:val="1"/>
          <w:numId w:val="10"/>
        </w:numPr>
        <w:spacing w:before="240" w:after="240"/>
      </w:pPr>
      <w:r>
        <w:t>This code states: GFCI protection is required. Unless listed and labeled to identity assembly that includes integral GFCI protection.</w:t>
      </w:r>
    </w:p>
    <w:p w14:paraId="67786AB9" w14:textId="65629F07" w:rsidR="00AF102A" w:rsidRDefault="00AF102A" w:rsidP="00AF102A">
      <w:pPr>
        <w:pStyle w:val="ListParagraph"/>
        <w:numPr>
          <w:ilvl w:val="0"/>
          <w:numId w:val="10"/>
        </w:numPr>
        <w:spacing w:before="240" w:after="240"/>
      </w:pPr>
      <w:r>
        <w:t>NEC 680.22(C): Switching Devices</w:t>
      </w:r>
    </w:p>
    <w:p w14:paraId="6EEB81EB" w14:textId="5CB17BB2" w:rsidR="00D21723" w:rsidRDefault="00D21723" w:rsidP="00D21723">
      <w:pPr>
        <w:pStyle w:val="ListParagraph"/>
        <w:numPr>
          <w:ilvl w:val="1"/>
          <w:numId w:val="10"/>
        </w:numPr>
        <w:spacing w:before="240" w:after="240"/>
      </w:pPr>
      <w:r>
        <w:t xml:space="preserve">This code states: switching devices, time clocks, etc. shall be located at least </w:t>
      </w:r>
      <w:proofErr w:type="gramStart"/>
      <w:r>
        <w:t>5-feet</w:t>
      </w:r>
      <w:proofErr w:type="gramEnd"/>
      <w:r>
        <w:t xml:space="preserve"> horizontally away from the inside walls of a spa or hot tub.</w:t>
      </w:r>
    </w:p>
    <w:p w14:paraId="6D8DA4BE" w14:textId="06F05729" w:rsidR="00D21723" w:rsidRDefault="00D21723" w:rsidP="00D21723">
      <w:pPr>
        <w:pStyle w:val="ListParagraph"/>
        <w:numPr>
          <w:ilvl w:val="1"/>
          <w:numId w:val="10"/>
        </w:numPr>
        <w:spacing w:before="240" w:after="240"/>
      </w:pPr>
      <w:r>
        <w:t xml:space="preserve">This code is important </w:t>
      </w:r>
      <w:r w:rsidR="00452C4A">
        <w:rPr>
          <w:rStyle w:val="SubtleEmphasis"/>
          <w:i w:val="0"/>
          <w:iCs w:val="0"/>
          <w:color w:val="auto"/>
        </w:rPr>
        <w:t>to note</w:t>
      </w:r>
      <w:r w:rsidR="00452C4A">
        <w:t xml:space="preserve"> </w:t>
      </w:r>
      <w:r>
        <w:t xml:space="preserve">because </w:t>
      </w:r>
      <w:r w:rsidR="0007271E">
        <w:t>problems occur when a hot tub or spa is placed too close to existing switches, time clocks, etc.</w:t>
      </w:r>
    </w:p>
    <w:p w14:paraId="3221A394" w14:textId="1AAC5483" w:rsidR="0007271E" w:rsidRDefault="0007271E" w:rsidP="0007271E">
      <w:pPr>
        <w:pStyle w:val="ListParagraph"/>
        <w:numPr>
          <w:ilvl w:val="0"/>
          <w:numId w:val="10"/>
        </w:numPr>
        <w:spacing w:before="240" w:after="240"/>
      </w:pPr>
      <w:r>
        <w:t>NEC 680.22(D): Other Outlets</w:t>
      </w:r>
    </w:p>
    <w:p w14:paraId="1AAFA7FD" w14:textId="76FCA113" w:rsidR="0007271E" w:rsidRDefault="0007271E" w:rsidP="0007271E">
      <w:pPr>
        <w:pStyle w:val="ListParagraph"/>
        <w:numPr>
          <w:ilvl w:val="1"/>
          <w:numId w:val="10"/>
        </w:numPr>
        <w:spacing w:before="240" w:after="240"/>
      </w:pPr>
      <w:r>
        <w:t xml:space="preserve">This code states: other outlets must be at least </w:t>
      </w:r>
      <w:proofErr w:type="gramStart"/>
      <w:r>
        <w:t>10-feet</w:t>
      </w:r>
      <w:proofErr w:type="gramEnd"/>
      <w:r>
        <w:t xml:space="preserve"> away from the inside wall of hot tubs and spas.</w:t>
      </w:r>
    </w:p>
    <w:p w14:paraId="0487CCC2" w14:textId="7CD91F7B" w:rsidR="009D3E03" w:rsidRDefault="009D3E03" w:rsidP="009D3E03">
      <w:pPr>
        <w:pStyle w:val="ListParagraph"/>
        <w:numPr>
          <w:ilvl w:val="0"/>
          <w:numId w:val="10"/>
        </w:numPr>
        <w:spacing w:before="240" w:after="240"/>
      </w:pPr>
      <w:r>
        <w:t>NEC 680.22(B)</w:t>
      </w:r>
    </w:p>
    <w:p w14:paraId="10984241" w14:textId="6BC86B5F" w:rsidR="009D3E03" w:rsidRDefault="009D3E03" w:rsidP="009D3E03">
      <w:pPr>
        <w:pStyle w:val="ListParagraph"/>
        <w:numPr>
          <w:ilvl w:val="1"/>
          <w:numId w:val="10"/>
        </w:numPr>
        <w:spacing w:before="240" w:after="240"/>
      </w:pPr>
      <w:r>
        <w:t xml:space="preserve">This code states: </w:t>
      </w:r>
      <w:r w:rsidR="00066CCD">
        <w:t>l</w:t>
      </w:r>
      <w:r>
        <w:t xml:space="preserve">ights, paddle fans, lighting outlets, and ceiling suspended paddle fans must be installed at least 5-feet horizontally away from the inside walls of the hot tub or </w:t>
      </w:r>
      <w:proofErr w:type="gramStart"/>
      <w:r>
        <w:t>spa, and</w:t>
      </w:r>
      <w:proofErr w:type="gramEnd"/>
      <w:r>
        <w:t xml:space="preserve"> shall be installed a</w:t>
      </w:r>
      <w:r w:rsidR="00347731">
        <w:t>t</w:t>
      </w:r>
      <w:r>
        <w:t xml:space="preserve"> a height not le</w:t>
      </w:r>
      <w:r w:rsidR="002C3673">
        <w:t>ss than 12-feet above the maximum water level.</w:t>
      </w:r>
    </w:p>
    <w:p w14:paraId="67A9F5F4" w14:textId="614F4EB3" w:rsidR="002C3673" w:rsidRDefault="002C3673" w:rsidP="002C3673">
      <w:pPr>
        <w:pStyle w:val="ListParagraph"/>
        <w:numPr>
          <w:ilvl w:val="1"/>
          <w:numId w:val="10"/>
        </w:numPr>
        <w:spacing w:before="240" w:after="240"/>
      </w:pPr>
      <w:r>
        <w:t xml:space="preserve">This code is important </w:t>
      </w:r>
      <w:r w:rsidR="00452C4A">
        <w:rPr>
          <w:rStyle w:val="SubtleEmphasis"/>
          <w:i w:val="0"/>
          <w:iCs w:val="0"/>
          <w:color w:val="auto"/>
        </w:rPr>
        <w:t>to note</w:t>
      </w:r>
      <w:r w:rsidR="00452C4A">
        <w:t xml:space="preserve"> </w:t>
      </w:r>
      <w:r>
        <w:t>because hot tub placement is often done without considering the placement of lights and ceiling fans that may be existing in patio covers, etc.</w:t>
      </w:r>
    </w:p>
    <w:p w14:paraId="17FF2248" w14:textId="3C8773E7" w:rsidR="00DD2F42" w:rsidRDefault="00DD2F42" w:rsidP="00DD2F42">
      <w:pPr>
        <w:pStyle w:val="ListParagraph"/>
        <w:numPr>
          <w:ilvl w:val="0"/>
          <w:numId w:val="10"/>
        </w:numPr>
        <w:spacing w:before="240" w:after="240"/>
      </w:pPr>
      <w:r>
        <w:t>NEC 680.22</w:t>
      </w:r>
      <w:r w:rsidR="00860997">
        <w:t>(B)(3)</w:t>
      </w:r>
    </w:p>
    <w:p w14:paraId="5758AC6B" w14:textId="67F773C4" w:rsidR="00860997" w:rsidRDefault="00860997" w:rsidP="00860997">
      <w:pPr>
        <w:pStyle w:val="ListParagraph"/>
        <w:numPr>
          <w:ilvl w:val="1"/>
          <w:numId w:val="10"/>
        </w:numPr>
        <w:spacing w:before="240" w:after="240"/>
      </w:pPr>
      <w:r>
        <w:t>This code states</w:t>
      </w:r>
      <w:r w:rsidR="003E6031">
        <w:t xml:space="preserve">: </w:t>
      </w:r>
      <w:r w:rsidR="00066CCD">
        <w:t>a</w:t>
      </w:r>
      <w:r w:rsidR="003E6031">
        <w:t xml:space="preserve">rea lighting, receptacles and equipment – </w:t>
      </w:r>
      <w:r w:rsidR="003E6031" w:rsidRPr="00755B62">
        <w:rPr>
          <w:u w:val="single"/>
        </w:rPr>
        <w:t>existing</w:t>
      </w:r>
      <w:r w:rsidR="003E6031">
        <w:t xml:space="preserve"> lights and lighting outlets located less than 5-feet measured horizontally from the inside walls, shall be not less than 5-feet above the surface of the maximum water level, and shall be rigidly attached to the existing structure, and shall be protected by a GFCI protection</w:t>
      </w:r>
      <w:r w:rsidR="00755B62">
        <w:t>.</w:t>
      </w:r>
    </w:p>
    <w:p w14:paraId="3D66BA62" w14:textId="156D2CC9" w:rsidR="00213D71" w:rsidRDefault="00755B62" w:rsidP="00213D71">
      <w:pPr>
        <w:pStyle w:val="ListParagraph"/>
        <w:numPr>
          <w:ilvl w:val="1"/>
          <w:numId w:val="10"/>
        </w:numPr>
        <w:spacing w:before="240" w:after="240"/>
      </w:pPr>
      <w:r>
        <w:t>This code is important</w:t>
      </w:r>
      <w:r w:rsidR="009A4AC9" w:rsidRPr="009A4AC9">
        <w:rPr>
          <w:rStyle w:val="SubtleEmphasis"/>
          <w:i w:val="0"/>
          <w:iCs w:val="0"/>
          <w:color w:val="auto"/>
        </w:rPr>
        <w:t xml:space="preserve"> </w:t>
      </w:r>
      <w:r w:rsidR="009A4AC9">
        <w:rPr>
          <w:rStyle w:val="SubtleEmphasis"/>
          <w:i w:val="0"/>
          <w:iCs w:val="0"/>
          <w:color w:val="auto"/>
        </w:rPr>
        <w:t>to note</w:t>
      </w:r>
      <w:r>
        <w:t xml:space="preserve"> because hot tub placement is often done without considering the placement of new or existing lights and ceiling fans.</w:t>
      </w:r>
    </w:p>
    <w:p w14:paraId="106EF935" w14:textId="4B51220A" w:rsidR="00213D71" w:rsidRDefault="00213D71" w:rsidP="00213D71">
      <w:pPr>
        <w:pStyle w:val="ListParagraph"/>
        <w:numPr>
          <w:ilvl w:val="0"/>
          <w:numId w:val="10"/>
        </w:numPr>
        <w:spacing w:before="240" w:after="240"/>
      </w:pPr>
      <w:r>
        <w:t>NEC 680.22(B)(4): GFCI Protection in adjacent areas</w:t>
      </w:r>
    </w:p>
    <w:p w14:paraId="7617091C" w14:textId="54876BA7" w:rsidR="00213D71" w:rsidRDefault="00213D71" w:rsidP="00213D71">
      <w:pPr>
        <w:pStyle w:val="ListParagraph"/>
        <w:numPr>
          <w:ilvl w:val="1"/>
          <w:numId w:val="10"/>
        </w:numPr>
        <w:spacing w:before="240" w:after="240"/>
      </w:pPr>
      <w:r>
        <w:t>This code states: lights, lighting out</w:t>
      </w:r>
      <w:r w:rsidR="00066CCD">
        <w:t xml:space="preserve">lets, and ceiling suspended paddle fans installed in the area </w:t>
      </w:r>
      <w:r w:rsidR="00A62447">
        <w:t>between 5-feet and 10-feet horizontally from the inside walls of a pool shall be protected by a GFCI unless installed not less than 5-feet above the maximum water level and rigidly attached to the structure adjacent to or enclosing the pool.</w:t>
      </w:r>
    </w:p>
    <w:p w14:paraId="46438977" w14:textId="4163F22F" w:rsidR="00A62447" w:rsidRDefault="00A62447" w:rsidP="00213D71">
      <w:pPr>
        <w:pStyle w:val="ListParagraph"/>
        <w:numPr>
          <w:ilvl w:val="1"/>
          <w:numId w:val="10"/>
        </w:numPr>
        <w:spacing w:before="240" w:after="240"/>
      </w:pPr>
      <w:r>
        <w:t xml:space="preserve">This code is important </w:t>
      </w:r>
      <w:r w:rsidR="009A4AC9">
        <w:rPr>
          <w:rStyle w:val="SubtleEmphasis"/>
          <w:i w:val="0"/>
          <w:iCs w:val="0"/>
          <w:color w:val="auto"/>
        </w:rPr>
        <w:t>to note</w:t>
      </w:r>
      <w:r w:rsidR="009A4AC9">
        <w:t xml:space="preserve"> </w:t>
      </w:r>
      <w:r w:rsidR="005A64D0">
        <w:t>because hot tub placement is often done without considering the placement of new or existing lights and ceiling fans.</w:t>
      </w:r>
    </w:p>
    <w:p w14:paraId="685538EA" w14:textId="636D2A57" w:rsidR="005A64D0" w:rsidRDefault="005A64D0" w:rsidP="005A64D0">
      <w:pPr>
        <w:pStyle w:val="ListParagraph"/>
        <w:numPr>
          <w:ilvl w:val="0"/>
          <w:numId w:val="10"/>
        </w:numPr>
        <w:spacing w:before="240" w:after="240"/>
      </w:pPr>
      <w:r>
        <w:t>NEC 680.22(A)(1): Required receptacle</w:t>
      </w:r>
    </w:p>
    <w:p w14:paraId="4BAFC3E9" w14:textId="54D56B97" w:rsidR="005A64D0" w:rsidRDefault="005A64D0" w:rsidP="005A64D0">
      <w:pPr>
        <w:pStyle w:val="ListParagraph"/>
        <w:numPr>
          <w:ilvl w:val="1"/>
          <w:numId w:val="10"/>
        </w:numPr>
        <w:spacing w:before="240" w:after="240"/>
      </w:pPr>
      <w:r>
        <w:t>This code states:</w:t>
      </w:r>
      <w:r w:rsidR="00D84E1B">
        <w:t xml:space="preserve"> where a permanently installed pool is installed at a dwelling unit, no fewer than one 125 volt, 15 or 20 amp receptacle installed on a general purpose</w:t>
      </w:r>
      <w:r w:rsidR="001479A1">
        <w:t xml:space="preserve"> branch circuit, and GFCI protected per 680.22(A)(4) shall be not be located less than 6-feet from, and not more than 20-feet from, the inside wall of </w:t>
      </w:r>
      <w:r w:rsidR="001479A1">
        <w:lastRenderedPageBreak/>
        <w:t xml:space="preserve">the hot tub or spa. This receptacle shall be located not more than </w:t>
      </w:r>
      <w:proofErr w:type="gramStart"/>
      <w:r w:rsidR="001479A1">
        <w:t>6-feet</w:t>
      </w:r>
      <w:proofErr w:type="gramEnd"/>
      <w:r w:rsidR="001479A1">
        <w:t>, 6-inches above the floor, platform, or grade level serving the pool.</w:t>
      </w:r>
    </w:p>
    <w:p w14:paraId="3D380202" w14:textId="433F336B" w:rsidR="001479A1" w:rsidRDefault="001479A1" w:rsidP="005A64D0">
      <w:pPr>
        <w:pStyle w:val="ListParagraph"/>
        <w:numPr>
          <w:ilvl w:val="1"/>
          <w:numId w:val="10"/>
        </w:numPr>
        <w:spacing w:before="240" w:after="240"/>
      </w:pPr>
      <w:r>
        <w:t xml:space="preserve">This code is important </w:t>
      </w:r>
      <w:r w:rsidR="009A4AC9">
        <w:rPr>
          <w:rStyle w:val="SubtleEmphasis"/>
          <w:i w:val="0"/>
          <w:iCs w:val="0"/>
          <w:color w:val="auto"/>
        </w:rPr>
        <w:t>to note</w:t>
      </w:r>
      <w:r w:rsidR="009A4AC9">
        <w:t xml:space="preserve"> </w:t>
      </w:r>
      <w:r>
        <w:t xml:space="preserve">because hot tubs are often placed either too close or too far from existing </w:t>
      </w:r>
      <w:proofErr w:type="gramStart"/>
      <w:r>
        <w:t>receptacles, and</w:t>
      </w:r>
      <w:proofErr w:type="gramEnd"/>
      <w:r>
        <w:t xml:space="preserve"> are generally not added until the inspector writes a correction.</w:t>
      </w:r>
    </w:p>
    <w:p w14:paraId="1B83827A" w14:textId="4C58D0E5" w:rsidR="001479A1" w:rsidRDefault="001479A1" w:rsidP="001479A1">
      <w:pPr>
        <w:pStyle w:val="ListParagraph"/>
        <w:numPr>
          <w:ilvl w:val="0"/>
          <w:numId w:val="10"/>
        </w:numPr>
        <w:spacing w:before="240" w:after="240"/>
      </w:pPr>
      <w:r>
        <w:t>NEC 680</w:t>
      </w:r>
      <w:r w:rsidR="00DE6785">
        <w:t>.26: Equipotential</w:t>
      </w:r>
      <w:r w:rsidR="00C37271">
        <w:t xml:space="preserve"> bonding</w:t>
      </w:r>
    </w:p>
    <w:p w14:paraId="2DA7818C" w14:textId="36973283" w:rsidR="00C37271" w:rsidRDefault="00983DCC" w:rsidP="00C37271">
      <w:pPr>
        <w:pStyle w:val="ListParagraph"/>
        <w:numPr>
          <w:ilvl w:val="1"/>
          <w:numId w:val="10"/>
        </w:numPr>
        <w:spacing w:before="240" w:after="240"/>
        <w:rPr>
          <w:rStyle w:val="SubtleEmphasis"/>
          <w:i w:val="0"/>
          <w:iCs w:val="0"/>
          <w:color w:val="auto"/>
        </w:rPr>
      </w:pPr>
      <w:r>
        <w:rPr>
          <w:rStyle w:val="SubtleEmphasis"/>
          <w:i w:val="0"/>
          <w:iCs w:val="0"/>
          <w:color w:val="auto"/>
        </w:rPr>
        <w:t>This code states: the equip</w:t>
      </w:r>
      <w:r w:rsidR="003C1665">
        <w:rPr>
          <w:rStyle w:val="SubtleEmphasis"/>
          <w:i w:val="0"/>
          <w:iCs w:val="0"/>
          <w:color w:val="auto"/>
        </w:rPr>
        <w:t>otential bonding required by this section shall be installed to reduce voltage gradients in the hot tub, spa, or pool area.</w:t>
      </w:r>
    </w:p>
    <w:p w14:paraId="1095F81D" w14:textId="00B94680" w:rsidR="003C1665" w:rsidRDefault="003C1665" w:rsidP="00C37271">
      <w:pPr>
        <w:pStyle w:val="ListParagraph"/>
        <w:numPr>
          <w:ilvl w:val="1"/>
          <w:numId w:val="10"/>
        </w:numPr>
        <w:spacing w:before="240" w:after="240"/>
        <w:rPr>
          <w:rStyle w:val="SubtleEmphasis"/>
          <w:i w:val="0"/>
          <w:iCs w:val="0"/>
          <w:color w:val="auto"/>
        </w:rPr>
      </w:pPr>
      <w:r>
        <w:rPr>
          <w:rStyle w:val="SubtleEmphasis"/>
          <w:i w:val="0"/>
          <w:iCs w:val="0"/>
          <w:color w:val="auto"/>
        </w:rPr>
        <w:t xml:space="preserve">This code is important </w:t>
      </w:r>
      <w:r w:rsidR="009A4AC9">
        <w:rPr>
          <w:rStyle w:val="SubtleEmphasis"/>
          <w:i w:val="0"/>
          <w:iCs w:val="0"/>
          <w:color w:val="auto"/>
        </w:rPr>
        <w:t>to note</w:t>
      </w:r>
      <w:r w:rsidR="009A4AC9">
        <w:rPr>
          <w:rStyle w:val="SubtleEmphasis"/>
          <w:i w:val="0"/>
          <w:iCs w:val="0"/>
          <w:color w:val="auto"/>
        </w:rPr>
        <w:t xml:space="preserve"> </w:t>
      </w:r>
      <w:r>
        <w:rPr>
          <w:rStyle w:val="SubtleEmphasis"/>
          <w:i w:val="0"/>
          <w:iCs w:val="0"/>
          <w:color w:val="auto"/>
        </w:rPr>
        <w:t xml:space="preserve">because bonding is required in an area 5-feet horizontally and 12-feet vertically around the perimeter of the hot tub. The parts that apply to hot tubs are 680.26(B) which requires a solid #8 or larger copper conductor be used, 680.26(B)(7) – requires all fixed metal cables, raceways, piping and all fixed metal parts shall be bonded. This is also often overlooked. An example of this is a metal </w:t>
      </w:r>
      <w:r w:rsidR="005B2F36">
        <w:rPr>
          <w:rStyle w:val="SubtleEmphasis"/>
          <w:i w:val="0"/>
          <w:iCs w:val="0"/>
          <w:color w:val="auto"/>
        </w:rPr>
        <w:t xml:space="preserve">rain gutter which is present and within </w:t>
      </w:r>
      <w:proofErr w:type="gramStart"/>
      <w:r w:rsidR="005B2F36">
        <w:rPr>
          <w:rStyle w:val="SubtleEmphasis"/>
          <w:i w:val="0"/>
          <w:iCs w:val="0"/>
          <w:color w:val="auto"/>
        </w:rPr>
        <w:t>5-feet</w:t>
      </w:r>
      <w:proofErr w:type="gramEnd"/>
      <w:r w:rsidR="005B2F36">
        <w:rPr>
          <w:rStyle w:val="SubtleEmphasis"/>
          <w:i w:val="0"/>
          <w:iCs w:val="0"/>
          <w:color w:val="auto"/>
        </w:rPr>
        <w:t xml:space="preserve"> of the hot tub. Other examples are fixed metal </w:t>
      </w:r>
      <w:proofErr w:type="gramStart"/>
      <w:r w:rsidR="005B2F36">
        <w:rPr>
          <w:rStyle w:val="SubtleEmphasis"/>
          <w:i w:val="0"/>
          <w:iCs w:val="0"/>
          <w:color w:val="auto"/>
        </w:rPr>
        <w:t>hand</w:t>
      </w:r>
      <w:r w:rsidR="00525162">
        <w:rPr>
          <w:rStyle w:val="SubtleEmphasis"/>
          <w:i w:val="0"/>
          <w:iCs w:val="0"/>
          <w:color w:val="auto"/>
        </w:rPr>
        <w:t xml:space="preserve"> rails</w:t>
      </w:r>
      <w:proofErr w:type="gramEnd"/>
      <w:r w:rsidR="00525162">
        <w:rPr>
          <w:rStyle w:val="SubtleEmphasis"/>
          <w:i w:val="0"/>
          <w:iCs w:val="0"/>
          <w:color w:val="auto"/>
        </w:rPr>
        <w:t xml:space="preserve">, metal stem wall vent covers, and metal foundation stem wall vent screens, which would </w:t>
      </w:r>
      <w:r w:rsidR="006A043D">
        <w:rPr>
          <w:rStyle w:val="SubtleEmphasis"/>
          <w:i w:val="0"/>
          <w:iCs w:val="0"/>
          <w:color w:val="auto"/>
        </w:rPr>
        <w:t>also need to be bonded if within the distances described. Essentially, all metal parts within the specified distance in and around the hot tub, are required to be bonded (grounded) for safety of electrical voltages imposed by natural or other forces.</w:t>
      </w:r>
    </w:p>
    <w:p w14:paraId="2F4969D4" w14:textId="1C85569F" w:rsidR="006A043D" w:rsidRDefault="006A043D" w:rsidP="006A043D">
      <w:pPr>
        <w:pStyle w:val="ListParagraph"/>
        <w:numPr>
          <w:ilvl w:val="0"/>
          <w:numId w:val="10"/>
        </w:numPr>
        <w:spacing w:before="240" w:after="240"/>
        <w:rPr>
          <w:rStyle w:val="SubtleEmphasis"/>
          <w:i w:val="0"/>
          <w:iCs w:val="0"/>
          <w:color w:val="auto"/>
        </w:rPr>
      </w:pPr>
      <w:r>
        <w:rPr>
          <w:rStyle w:val="SubtleEmphasis"/>
          <w:i w:val="0"/>
          <w:iCs w:val="0"/>
          <w:color w:val="auto"/>
        </w:rPr>
        <w:t>NEC 680.42(B)(4)</w:t>
      </w:r>
    </w:p>
    <w:p w14:paraId="646DD17E" w14:textId="085F6D25" w:rsidR="001C3ED1" w:rsidRDefault="001C3ED1" w:rsidP="001C3ED1">
      <w:pPr>
        <w:pStyle w:val="ListParagraph"/>
        <w:numPr>
          <w:ilvl w:val="1"/>
          <w:numId w:val="10"/>
        </w:numPr>
        <w:spacing w:before="240" w:after="240"/>
        <w:rPr>
          <w:rStyle w:val="SubtleEmphasis"/>
          <w:i w:val="0"/>
          <w:iCs w:val="0"/>
          <w:color w:val="auto"/>
        </w:rPr>
      </w:pPr>
      <w:r>
        <w:rPr>
          <w:rStyle w:val="SubtleEmphasis"/>
          <w:i w:val="0"/>
          <w:iCs w:val="0"/>
          <w:color w:val="auto"/>
        </w:rPr>
        <w:t>This code states: an equipotential bonding plane is required in this installation.</w:t>
      </w:r>
    </w:p>
    <w:p w14:paraId="7D9E38BB" w14:textId="384099BB" w:rsidR="001C3ED1" w:rsidRDefault="001C3ED1" w:rsidP="001C3ED1">
      <w:pPr>
        <w:pStyle w:val="ListParagraph"/>
        <w:numPr>
          <w:ilvl w:val="0"/>
          <w:numId w:val="10"/>
        </w:numPr>
        <w:spacing w:before="240" w:after="240"/>
        <w:rPr>
          <w:rStyle w:val="SubtleEmphasis"/>
          <w:i w:val="0"/>
          <w:iCs w:val="0"/>
          <w:color w:val="auto"/>
        </w:rPr>
      </w:pPr>
      <w:r>
        <w:rPr>
          <w:rStyle w:val="SubtleEmphasis"/>
          <w:i w:val="0"/>
          <w:iCs w:val="0"/>
          <w:color w:val="auto"/>
        </w:rPr>
        <w:t>IRC Section R308: Safety Glass</w:t>
      </w:r>
    </w:p>
    <w:p w14:paraId="633A4F84" w14:textId="03AB5BCA" w:rsidR="007C1312" w:rsidRDefault="007C1312" w:rsidP="007C1312">
      <w:pPr>
        <w:pStyle w:val="ListParagraph"/>
        <w:numPr>
          <w:ilvl w:val="1"/>
          <w:numId w:val="10"/>
        </w:numPr>
        <w:spacing w:before="240" w:after="240"/>
        <w:rPr>
          <w:rStyle w:val="SubtleEmphasis"/>
          <w:i w:val="0"/>
          <w:iCs w:val="0"/>
          <w:color w:val="auto"/>
        </w:rPr>
      </w:pPr>
      <w:r>
        <w:rPr>
          <w:rStyle w:val="SubtleEmphasis"/>
          <w:i w:val="0"/>
          <w:iCs w:val="0"/>
          <w:color w:val="auto"/>
        </w:rPr>
        <w:t>Th</w:t>
      </w:r>
      <w:r w:rsidR="005E5BE3">
        <w:rPr>
          <w:rStyle w:val="SubtleEmphasis"/>
          <w:i w:val="0"/>
          <w:iCs w:val="0"/>
          <w:color w:val="auto"/>
        </w:rPr>
        <w:t xml:space="preserve">e IRC is currently </w:t>
      </w:r>
      <w:r w:rsidR="001C38EA">
        <w:rPr>
          <w:rStyle w:val="SubtleEmphasis"/>
          <w:i w:val="0"/>
          <w:iCs w:val="0"/>
          <w:color w:val="auto"/>
        </w:rPr>
        <w:t>adopted by the City of Meridian</w:t>
      </w:r>
      <w:r w:rsidR="00FC2D5C">
        <w:rPr>
          <w:rStyle w:val="SubtleEmphasis"/>
          <w:i w:val="0"/>
          <w:iCs w:val="0"/>
          <w:color w:val="auto"/>
        </w:rPr>
        <w:t xml:space="preserve"> and specifies requirements for safety glass in hazardous locations. These locations include pool, spa, and hot tub</w:t>
      </w:r>
      <w:r w:rsidR="00730D58">
        <w:rPr>
          <w:rStyle w:val="SubtleEmphasis"/>
          <w:i w:val="0"/>
          <w:iCs w:val="0"/>
          <w:color w:val="auto"/>
        </w:rPr>
        <w:t xml:space="preserve"> areas. </w:t>
      </w:r>
      <w:proofErr w:type="gramStart"/>
      <w:r w:rsidR="00730D58">
        <w:rPr>
          <w:rStyle w:val="SubtleEmphasis"/>
          <w:i w:val="0"/>
          <w:iCs w:val="0"/>
          <w:color w:val="auto"/>
        </w:rPr>
        <w:t>Generally speaking, glass</w:t>
      </w:r>
      <w:proofErr w:type="gramEnd"/>
      <w:r w:rsidR="00730D58">
        <w:rPr>
          <w:rStyle w:val="SubtleEmphasis"/>
          <w:i w:val="0"/>
          <w:iCs w:val="0"/>
          <w:color w:val="auto"/>
        </w:rPr>
        <w:t xml:space="preserve"> windows and walls facing hot tubs must comply with </w:t>
      </w:r>
      <w:proofErr w:type="gramStart"/>
      <w:r w:rsidR="00730D58">
        <w:rPr>
          <w:rStyle w:val="SubtleEmphasis"/>
          <w:i w:val="0"/>
          <w:iCs w:val="0"/>
          <w:color w:val="auto"/>
        </w:rPr>
        <w:t>the life</w:t>
      </w:r>
      <w:proofErr w:type="gramEnd"/>
      <w:r w:rsidR="00730D58">
        <w:rPr>
          <w:rStyle w:val="SubtleEmphasis"/>
          <w:i w:val="0"/>
          <w:iCs w:val="0"/>
          <w:color w:val="auto"/>
        </w:rPr>
        <w:t xml:space="preserve"> safety</w:t>
      </w:r>
      <w:r w:rsidR="005C4AE1">
        <w:rPr>
          <w:rStyle w:val="SubtleEmphasis"/>
          <w:i w:val="0"/>
          <w:iCs w:val="0"/>
          <w:color w:val="auto"/>
        </w:rPr>
        <w:t xml:space="preserve"> requirements of the code. </w:t>
      </w:r>
      <w:proofErr w:type="gramStart"/>
      <w:r w:rsidR="005C4AE1">
        <w:rPr>
          <w:rStyle w:val="SubtleEmphasis"/>
          <w:i w:val="0"/>
          <w:iCs w:val="0"/>
          <w:color w:val="auto"/>
        </w:rPr>
        <w:t>Typically</w:t>
      </w:r>
      <w:proofErr w:type="gramEnd"/>
      <w:r w:rsidR="005C4AE1">
        <w:rPr>
          <w:rStyle w:val="SubtleEmphasis"/>
          <w:i w:val="0"/>
          <w:iCs w:val="0"/>
          <w:color w:val="auto"/>
        </w:rPr>
        <w:t xml:space="preserve"> 60 inches is the horizontal distance separation </w:t>
      </w:r>
      <w:r w:rsidR="008C6F22">
        <w:rPr>
          <w:rStyle w:val="SubtleEmphasis"/>
          <w:i w:val="0"/>
          <w:iCs w:val="0"/>
          <w:color w:val="auto"/>
        </w:rPr>
        <w:t>the IRC, however, there are other requirements.</w:t>
      </w:r>
    </w:p>
    <w:p w14:paraId="25F6D634" w14:textId="546B7008" w:rsidR="008C6F22" w:rsidRPr="00213D71" w:rsidRDefault="008C6F22" w:rsidP="007C1312">
      <w:pPr>
        <w:pStyle w:val="ListParagraph"/>
        <w:numPr>
          <w:ilvl w:val="1"/>
          <w:numId w:val="10"/>
        </w:numPr>
        <w:spacing w:before="240" w:after="240"/>
        <w:rPr>
          <w:rStyle w:val="SubtleEmphasis"/>
          <w:i w:val="0"/>
          <w:iCs w:val="0"/>
          <w:color w:val="auto"/>
        </w:rPr>
      </w:pPr>
      <w:r>
        <w:rPr>
          <w:rStyle w:val="SubtleEmphasis"/>
          <w:i w:val="0"/>
          <w:iCs w:val="0"/>
          <w:color w:val="auto"/>
        </w:rPr>
        <w:t xml:space="preserve">This code is important </w:t>
      </w:r>
      <w:r w:rsidR="009A4AC9">
        <w:rPr>
          <w:rStyle w:val="SubtleEmphasis"/>
          <w:i w:val="0"/>
          <w:iCs w:val="0"/>
          <w:color w:val="auto"/>
        </w:rPr>
        <w:t xml:space="preserve">to note </w:t>
      </w:r>
      <w:r>
        <w:rPr>
          <w:rStyle w:val="SubtleEmphasis"/>
          <w:i w:val="0"/>
          <w:iCs w:val="0"/>
          <w:color w:val="auto"/>
        </w:rPr>
        <w:t xml:space="preserve">because hot tubs and spas </w:t>
      </w:r>
      <w:proofErr w:type="gramStart"/>
      <w:r>
        <w:rPr>
          <w:rStyle w:val="SubtleEmphasis"/>
          <w:i w:val="0"/>
          <w:iCs w:val="0"/>
          <w:color w:val="auto"/>
        </w:rPr>
        <w:t>are located in</w:t>
      </w:r>
      <w:proofErr w:type="gramEnd"/>
      <w:r>
        <w:rPr>
          <w:rStyle w:val="SubtleEmphasis"/>
          <w:i w:val="0"/>
          <w:iCs w:val="0"/>
          <w:color w:val="auto"/>
        </w:rPr>
        <w:t xml:space="preserve"> areas, without understanding the life safety requirements which municipal inspectors are required to verify.</w:t>
      </w:r>
    </w:p>
    <w:sectPr w:rsidR="008C6F22" w:rsidRPr="00213D71" w:rsidSect="00D356E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882E7" w14:textId="77777777" w:rsidR="0087401C" w:rsidRDefault="0087401C" w:rsidP="00E31495">
      <w:pPr>
        <w:spacing w:after="0" w:line="240" w:lineRule="auto"/>
      </w:pPr>
      <w:r>
        <w:separator/>
      </w:r>
    </w:p>
  </w:endnote>
  <w:endnote w:type="continuationSeparator" w:id="0">
    <w:p w14:paraId="7C326F56" w14:textId="77777777" w:rsidR="0087401C" w:rsidRDefault="0087401C" w:rsidP="00E31495">
      <w:pPr>
        <w:spacing w:after="0" w:line="240" w:lineRule="auto"/>
      </w:pPr>
      <w:r>
        <w:continuationSeparator/>
      </w:r>
    </w:p>
  </w:endnote>
  <w:endnote w:type="continuationNotice" w:id="1">
    <w:p w14:paraId="58CCA74D" w14:textId="77777777" w:rsidR="0087401C" w:rsidRDefault="008740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2909" w14:textId="77777777" w:rsidR="00F12D5C" w:rsidRDefault="00F12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912082807"/>
      <w:docPartObj>
        <w:docPartGallery w:val="Page Numbers (Bottom of Page)"/>
        <w:docPartUnique/>
      </w:docPartObj>
    </w:sdtPr>
    <w:sdtEndPr>
      <w:rPr>
        <w:noProof/>
      </w:rPr>
    </w:sdtEndPr>
    <w:sdtContent>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335"/>
        </w:tblGrid>
        <w:tr w:rsidR="00790AB3" w14:paraId="78F1C8BC" w14:textId="77777777" w:rsidTr="00790AB3">
          <w:tc>
            <w:tcPr>
              <w:tcW w:w="7110" w:type="dxa"/>
            </w:tcPr>
            <w:p w14:paraId="3A0181BD" w14:textId="77777777" w:rsidR="00790AB3" w:rsidRDefault="00790AB3" w:rsidP="00D356EA">
              <w:pPr>
                <w:pStyle w:val="Footer"/>
                <w:rPr>
                  <w:sz w:val="22"/>
                </w:rPr>
              </w:pPr>
              <w:r>
                <w:rPr>
                  <w:noProof/>
                </w:rPr>
                <w:drawing>
                  <wp:inline distT="0" distB="0" distL="0" distR="0" wp14:anchorId="5263B4D0" wp14:editId="6C44CF60">
                    <wp:extent cx="676656" cy="475488"/>
                    <wp:effectExtent l="0" t="0" r="0" b="1270"/>
                    <wp:docPr id="21331955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9557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 cy="475488"/>
                            </a:xfrm>
                            <a:prstGeom prst="rect">
                              <a:avLst/>
                            </a:prstGeom>
                            <a:noFill/>
                            <a:ln>
                              <a:noFill/>
                            </a:ln>
                          </pic:spPr>
                        </pic:pic>
                      </a:graphicData>
                    </a:graphic>
                  </wp:inline>
                </w:drawing>
              </w:r>
            </w:p>
          </w:tc>
          <w:tc>
            <w:tcPr>
              <w:tcW w:w="2335" w:type="dxa"/>
              <w:vAlign w:val="bottom"/>
            </w:tcPr>
            <w:p w14:paraId="66DAF4E4" w14:textId="77777777" w:rsidR="00790AB3" w:rsidRDefault="00790AB3" w:rsidP="00790AB3">
              <w:pPr>
                <w:pStyle w:val="Footer"/>
                <w:jc w:val="right"/>
                <w:rPr>
                  <w:sz w:val="22"/>
                </w:rPr>
              </w:pPr>
              <w:r w:rsidRPr="00D356EA">
                <w:rPr>
                  <w:sz w:val="22"/>
                </w:rPr>
                <w:t xml:space="preserve">Page | </w:t>
              </w:r>
              <w:r w:rsidRPr="00D356EA">
                <w:rPr>
                  <w:sz w:val="22"/>
                </w:rPr>
                <w:fldChar w:fldCharType="begin"/>
              </w:r>
              <w:r w:rsidRPr="00D356EA">
                <w:rPr>
                  <w:sz w:val="22"/>
                </w:rPr>
                <w:instrText xml:space="preserve"> PAGE   \* MERGEFORMAT </w:instrText>
              </w:r>
              <w:r w:rsidRPr="00D356EA">
                <w:rPr>
                  <w:sz w:val="22"/>
                </w:rPr>
                <w:fldChar w:fldCharType="separate"/>
              </w:r>
              <w:r>
                <w:rPr>
                  <w:sz w:val="22"/>
                </w:rPr>
                <w:t>2</w:t>
              </w:r>
              <w:r w:rsidRPr="00D356EA">
                <w:rPr>
                  <w:noProof/>
                  <w:sz w:val="22"/>
                </w:rPr>
                <w:fldChar w:fldCharType="end"/>
              </w:r>
            </w:p>
          </w:tc>
        </w:tr>
      </w:tbl>
      <w:p w14:paraId="6EAEC270" w14:textId="77777777" w:rsidR="00D356EA" w:rsidRPr="00D356EA" w:rsidRDefault="00000000" w:rsidP="00790AB3">
        <w:pPr>
          <w:pStyle w:val="Footer"/>
          <w:rPr>
            <w:noProof/>
            <w:sz w:val="2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0"/>
    </w:tblGrid>
    <w:tr w:rsidR="000901BC" w14:paraId="2331EA83" w14:textId="77777777" w:rsidTr="00323AF3">
      <w:tc>
        <w:tcPr>
          <w:tcW w:w="9350" w:type="dxa"/>
          <w:tcBorders>
            <w:top w:val="single" w:sz="4" w:space="0" w:color="auto"/>
          </w:tcBorders>
        </w:tcPr>
        <w:p w14:paraId="49A6E87D" w14:textId="77777777" w:rsidR="000901BC" w:rsidRDefault="000901BC" w:rsidP="000901BC">
          <w:pPr>
            <w:pStyle w:val="TableFooter"/>
            <w:rPr>
              <w:i/>
              <w:iCs/>
              <w:color w:val="404040" w:themeColor="text1" w:themeTint="BF"/>
            </w:rPr>
          </w:pPr>
          <w:r w:rsidRPr="00D356EA">
            <w:t>Building: 208.887.2211 | Land</w:t>
          </w:r>
          <w:r>
            <w:t xml:space="preserve"> Development</w:t>
          </w:r>
          <w:r w:rsidRPr="00D356EA">
            <w:t>: 208.884.2211 | Planning: 208.884.5533</w:t>
          </w:r>
        </w:p>
      </w:tc>
    </w:tr>
    <w:tr w:rsidR="000901BC" w14:paraId="59C2BAC5" w14:textId="77777777" w:rsidTr="00323AF3">
      <w:tc>
        <w:tcPr>
          <w:tcW w:w="9350" w:type="dxa"/>
        </w:tcPr>
        <w:p w14:paraId="4CFE7B08" w14:textId="77777777" w:rsidR="000901BC" w:rsidRDefault="000901BC" w:rsidP="000901BC">
          <w:pPr>
            <w:pStyle w:val="TableFooter"/>
            <w:rPr>
              <w:i/>
              <w:iCs/>
              <w:color w:val="404040" w:themeColor="text1" w:themeTint="BF"/>
            </w:rPr>
          </w:pPr>
          <w:hyperlink r:id="rId1" w:history="1">
            <w:r w:rsidRPr="00D356EA">
              <w:rPr>
                <w:rStyle w:val="Hyperlink"/>
                <w:color w:val="auto"/>
              </w:rPr>
              <w:t>www.meridiancity.org</w:t>
            </w:r>
          </w:hyperlink>
        </w:p>
      </w:tc>
    </w:tr>
    <w:tr w:rsidR="000901BC" w14:paraId="49439843" w14:textId="77777777" w:rsidTr="00323AF3">
      <w:tc>
        <w:tcPr>
          <w:tcW w:w="9350" w:type="dxa"/>
        </w:tcPr>
        <w:p w14:paraId="1E8401BE" w14:textId="74670ACD" w:rsidR="000901BC" w:rsidRPr="00B645B4" w:rsidRDefault="000901BC" w:rsidP="000901BC">
          <w:pPr>
            <w:pStyle w:val="TableFooterRight"/>
            <w:rPr>
              <w:sz w:val="16"/>
              <w:szCs w:val="16"/>
            </w:rPr>
          </w:pPr>
          <w:r w:rsidRPr="00D356EA">
            <w:t>Version</w:t>
          </w:r>
          <w:r>
            <w:t xml:space="preserve"> </w:t>
          </w:r>
          <w:r w:rsidRPr="00D356EA">
            <w:t xml:space="preserve">-1.0 | </w:t>
          </w:r>
          <w:r w:rsidRPr="00D356EA">
            <w:fldChar w:fldCharType="begin"/>
          </w:r>
          <w:r w:rsidRPr="00D356EA">
            <w:instrText xml:space="preserve"> DATE  \@ "M/d/yyyy"  \* MERGEFORMAT </w:instrText>
          </w:r>
          <w:r w:rsidRPr="00D356EA">
            <w:fldChar w:fldCharType="separate"/>
          </w:r>
          <w:r w:rsidR="000B2A5F">
            <w:rPr>
              <w:noProof/>
            </w:rPr>
            <w:t>3/12/2026</w:t>
          </w:r>
          <w:r w:rsidRPr="00D356EA">
            <w:fldChar w:fldCharType="end"/>
          </w:r>
        </w:p>
      </w:tc>
    </w:tr>
  </w:tbl>
  <w:p w14:paraId="41350BB2" w14:textId="77777777" w:rsidR="00780B2A" w:rsidRPr="000901BC" w:rsidRDefault="00780B2A" w:rsidP="00337F7C">
    <w:pPr>
      <w:pStyle w:val="TableFooter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C13A2" w14:textId="77777777" w:rsidR="0087401C" w:rsidRDefault="0087401C" w:rsidP="00E31495">
      <w:pPr>
        <w:spacing w:after="0" w:line="240" w:lineRule="auto"/>
      </w:pPr>
      <w:r>
        <w:separator/>
      </w:r>
    </w:p>
  </w:footnote>
  <w:footnote w:type="continuationSeparator" w:id="0">
    <w:p w14:paraId="77C5BD9C" w14:textId="77777777" w:rsidR="0087401C" w:rsidRDefault="0087401C" w:rsidP="00E31495">
      <w:pPr>
        <w:spacing w:after="0" w:line="240" w:lineRule="auto"/>
      </w:pPr>
      <w:r>
        <w:continuationSeparator/>
      </w:r>
    </w:p>
  </w:footnote>
  <w:footnote w:type="continuationNotice" w:id="1">
    <w:p w14:paraId="681C205C" w14:textId="77777777" w:rsidR="0087401C" w:rsidRDefault="008740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1AA1" w14:textId="77777777" w:rsidR="00F12D5C" w:rsidRDefault="00F12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77C6" w14:textId="77777777" w:rsidR="00F12D5C" w:rsidRDefault="00F12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5"/>
      <w:gridCol w:w="2645"/>
    </w:tblGrid>
    <w:tr w:rsidR="00DD73FF" w:rsidRPr="00661B5C" w14:paraId="26F52093" w14:textId="77777777" w:rsidTr="008E5287">
      <w:trPr>
        <w:trHeight w:val="990"/>
        <w:jc w:val="right"/>
      </w:trPr>
      <w:tc>
        <w:tcPr>
          <w:tcW w:w="6715" w:type="dxa"/>
        </w:tcPr>
        <w:p w14:paraId="0B37F58B" w14:textId="77777777" w:rsidR="00DD73FF" w:rsidRPr="00661B5C" w:rsidRDefault="00DD73FF" w:rsidP="00DD73FF">
          <w:pPr>
            <w:rPr>
              <w:rFonts w:cstheme="minorHAnsi"/>
            </w:rPr>
          </w:pPr>
          <w:r>
            <w:rPr>
              <w:rFonts w:cstheme="minorHAnsi"/>
              <w:noProof/>
            </w:rPr>
            <w:drawing>
              <wp:inline distT="0" distB="0" distL="0" distR="0" wp14:anchorId="4ABB2D4D" wp14:editId="0940C306">
                <wp:extent cx="2414016" cy="817051"/>
                <wp:effectExtent l="0" t="0" r="5715" b="2540"/>
                <wp:docPr id="962300359" name="Picture 2" descr="City of Meridian header logo with Community Development Departmen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00359" name="Picture 2" descr="City of Meridian header logo with Community Development Department text."/>
                        <pic:cNvPicPr/>
                      </pic:nvPicPr>
                      <pic:blipFill>
                        <a:blip r:embed="rId1">
                          <a:extLst>
                            <a:ext uri="{28A0092B-C50C-407E-A947-70E740481C1C}">
                              <a14:useLocalDpi xmlns:a14="http://schemas.microsoft.com/office/drawing/2010/main" val="0"/>
                            </a:ext>
                          </a:extLst>
                        </a:blip>
                        <a:stretch>
                          <a:fillRect/>
                        </a:stretch>
                      </pic:blipFill>
                      <pic:spPr>
                        <a:xfrm>
                          <a:off x="0" y="0"/>
                          <a:ext cx="2414016" cy="817051"/>
                        </a:xfrm>
                        <a:prstGeom prst="rect">
                          <a:avLst/>
                        </a:prstGeom>
                      </pic:spPr>
                    </pic:pic>
                  </a:graphicData>
                </a:graphic>
              </wp:inline>
            </w:drawing>
          </w:r>
        </w:p>
      </w:tc>
      <w:tc>
        <w:tcPr>
          <w:tcW w:w="2645" w:type="dxa"/>
          <w:vAlign w:val="center"/>
        </w:tcPr>
        <w:p w14:paraId="7CD394E2" w14:textId="77777777" w:rsidR="00DD73FF" w:rsidRDefault="00DD73FF" w:rsidP="008E5287">
          <w:pPr>
            <w:pStyle w:val="HeaderLocation"/>
          </w:pPr>
          <w:bookmarkStart w:id="0" w:name="_Hlk192490837"/>
          <w:r w:rsidRPr="00661B5C">
            <w:t>Meridian City Hall</w:t>
          </w:r>
        </w:p>
        <w:p w14:paraId="5C039591" w14:textId="77777777" w:rsidR="00DD73FF" w:rsidRDefault="00DD73FF" w:rsidP="008E5287">
          <w:pPr>
            <w:pStyle w:val="HeaderLocation"/>
          </w:pPr>
          <w:r>
            <w:t>33 E. Broadway Avenue</w:t>
          </w:r>
        </w:p>
        <w:p w14:paraId="108DB212" w14:textId="77777777" w:rsidR="00DD73FF" w:rsidRPr="00661B5C" w:rsidRDefault="00DD73FF" w:rsidP="008E5287">
          <w:pPr>
            <w:pStyle w:val="HeaderLocation"/>
          </w:pPr>
          <w:r>
            <w:t>Meridian, Idaho 83642</w:t>
          </w:r>
        </w:p>
      </w:tc>
    </w:tr>
    <w:bookmarkEnd w:id="0"/>
  </w:tbl>
  <w:p w14:paraId="24EF7E8C" w14:textId="77777777" w:rsidR="007027E8" w:rsidRDefault="007027E8" w:rsidP="00337F7C">
    <w:pPr>
      <w:pStyle w:val="TableHeader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A20"/>
    <w:multiLevelType w:val="hybridMultilevel"/>
    <w:tmpl w:val="35D80E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7C2EA3"/>
    <w:multiLevelType w:val="hybridMultilevel"/>
    <w:tmpl w:val="A1167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47392"/>
    <w:multiLevelType w:val="hybridMultilevel"/>
    <w:tmpl w:val="D542D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9453855"/>
    <w:multiLevelType w:val="hybridMultilevel"/>
    <w:tmpl w:val="AE28C2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3AE057ED"/>
    <w:multiLevelType w:val="hybridMultilevel"/>
    <w:tmpl w:val="045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17EC7"/>
    <w:multiLevelType w:val="hybridMultilevel"/>
    <w:tmpl w:val="4948B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40CD122"/>
    <w:multiLevelType w:val="hybridMultilevel"/>
    <w:tmpl w:val="5D12F61E"/>
    <w:lvl w:ilvl="0" w:tplc="930E0D20">
      <w:start w:val="1"/>
      <w:numFmt w:val="decimal"/>
      <w:lvlText w:val="%1."/>
      <w:lvlJc w:val="left"/>
      <w:pPr>
        <w:ind w:left="720" w:hanging="360"/>
      </w:pPr>
    </w:lvl>
    <w:lvl w:ilvl="1" w:tplc="CD5CB742">
      <w:start w:val="1"/>
      <w:numFmt w:val="lowerLetter"/>
      <w:lvlText w:val="%2."/>
      <w:lvlJc w:val="left"/>
      <w:pPr>
        <w:ind w:left="1440" w:hanging="360"/>
      </w:pPr>
    </w:lvl>
    <w:lvl w:ilvl="2" w:tplc="D4929CF2">
      <w:start w:val="1"/>
      <w:numFmt w:val="lowerRoman"/>
      <w:lvlText w:val="%3."/>
      <w:lvlJc w:val="right"/>
      <w:pPr>
        <w:ind w:left="2160" w:hanging="180"/>
      </w:pPr>
    </w:lvl>
    <w:lvl w:ilvl="3" w:tplc="91B664E6">
      <w:start w:val="1"/>
      <w:numFmt w:val="decimal"/>
      <w:lvlText w:val="%4."/>
      <w:lvlJc w:val="left"/>
      <w:pPr>
        <w:ind w:left="2880" w:hanging="360"/>
      </w:pPr>
    </w:lvl>
    <w:lvl w:ilvl="4" w:tplc="5232B1E0">
      <w:start w:val="1"/>
      <w:numFmt w:val="lowerLetter"/>
      <w:lvlText w:val="%5."/>
      <w:lvlJc w:val="left"/>
      <w:pPr>
        <w:ind w:left="3600" w:hanging="360"/>
      </w:pPr>
    </w:lvl>
    <w:lvl w:ilvl="5" w:tplc="8AB27A02">
      <w:start w:val="1"/>
      <w:numFmt w:val="lowerRoman"/>
      <w:lvlText w:val="%6."/>
      <w:lvlJc w:val="right"/>
      <w:pPr>
        <w:ind w:left="4320" w:hanging="180"/>
      </w:pPr>
    </w:lvl>
    <w:lvl w:ilvl="6" w:tplc="3B92AF8E">
      <w:start w:val="1"/>
      <w:numFmt w:val="decimal"/>
      <w:lvlText w:val="%7."/>
      <w:lvlJc w:val="left"/>
      <w:pPr>
        <w:ind w:left="5040" w:hanging="360"/>
      </w:pPr>
    </w:lvl>
    <w:lvl w:ilvl="7" w:tplc="5CC66CB8">
      <w:start w:val="1"/>
      <w:numFmt w:val="lowerLetter"/>
      <w:lvlText w:val="%8."/>
      <w:lvlJc w:val="left"/>
      <w:pPr>
        <w:ind w:left="5760" w:hanging="360"/>
      </w:pPr>
    </w:lvl>
    <w:lvl w:ilvl="8" w:tplc="57BAED5A">
      <w:start w:val="1"/>
      <w:numFmt w:val="lowerRoman"/>
      <w:lvlText w:val="%9."/>
      <w:lvlJc w:val="right"/>
      <w:pPr>
        <w:ind w:left="6480" w:hanging="180"/>
      </w:pPr>
    </w:lvl>
  </w:abstractNum>
  <w:abstractNum w:abstractNumId="7" w15:restartNumberingAfterBreak="0">
    <w:nsid w:val="76487E5C"/>
    <w:multiLevelType w:val="hybridMultilevel"/>
    <w:tmpl w:val="99D86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B8C0223"/>
    <w:multiLevelType w:val="hybridMultilevel"/>
    <w:tmpl w:val="73AC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52BCC"/>
    <w:multiLevelType w:val="hybridMultilevel"/>
    <w:tmpl w:val="F82419BA"/>
    <w:lvl w:ilvl="0" w:tplc="F15870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556424">
    <w:abstractNumId w:val="6"/>
  </w:num>
  <w:num w:numId="2" w16cid:durableId="1097021840">
    <w:abstractNumId w:val="0"/>
  </w:num>
  <w:num w:numId="3" w16cid:durableId="74983898">
    <w:abstractNumId w:val="2"/>
  </w:num>
  <w:num w:numId="4" w16cid:durableId="588923579">
    <w:abstractNumId w:val="5"/>
  </w:num>
  <w:num w:numId="5" w16cid:durableId="83231072">
    <w:abstractNumId w:val="7"/>
  </w:num>
  <w:num w:numId="6" w16cid:durableId="1327438246">
    <w:abstractNumId w:val="4"/>
  </w:num>
  <w:num w:numId="7" w16cid:durableId="479467300">
    <w:abstractNumId w:val="3"/>
  </w:num>
  <w:num w:numId="8" w16cid:durableId="1609657123">
    <w:abstractNumId w:val="8"/>
  </w:num>
  <w:num w:numId="9" w16cid:durableId="597177637">
    <w:abstractNumId w:val="9"/>
  </w:num>
  <w:num w:numId="10" w16cid:durableId="2128814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65"/>
    <w:rsid w:val="0000314F"/>
    <w:rsid w:val="00003AAC"/>
    <w:rsid w:val="00011325"/>
    <w:rsid w:val="00024C34"/>
    <w:rsid w:val="000321D2"/>
    <w:rsid w:val="00036EDC"/>
    <w:rsid w:val="0003703F"/>
    <w:rsid w:val="000372B3"/>
    <w:rsid w:val="00039FCF"/>
    <w:rsid w:val="00040701"/>
    <w:rsid w:val="00051627"/>
    <w:rsid w:val="00055EB8"/>
    <w:rsid w:val="00056E55"/>
    <w:rsid w:val="00057306"/>
    <w:rsid w:val="00057B84"/>
    <w:rsid w:val="00061289"/>
    <w:rsid w:val="000624C3"/>
    <w:rsid w:val="00065036"/>
    <w:rsid w:val="0006521A"/>
    <w:rsid w:val="00066CCD"/>
    <w:rsid w:val="0007271E"/>
    <w:rsid w:val="00073B0A"/>
    <w:rsid w:val="00082FCB"/>
    <w:rsid w:val="00083245"/>
    <w:rsid w:val="000859B5"/>
    <w:rsid w:val="00086D40"/>
    <w:rsid w:val="000901BC"/>
    <w:rsid w:val="000930BB"/>
    <w:rsid w:val="00095FCE"/>
    <w:rsid w:val="000A1147"/>
    <w:rsid w:val="000A234A"/>
    <w:rsid w:val="000A579C"/>
    <w:rsid w:val="000B2A5F"/>
    <w:rsid w:val="000B36B8"/>
    <w:rsid w:val="000B795B"/>
    <w:rsid w:val="000C0EA2"/>
    <w:rsid w:val="000D716A"/>
    <w:rsid w:val="000E243F"/>
    <w:rsid w:val="000E6B57"/>
    <w:rsid w:val="000F38E2"/>
    <w:rsid w:val="000F7AEF"/>
    <w:rsid w:val="001167B0"/>
    <w:rsid w:val="00116BF2"/>
    <w:rsid w:val="0012247D"/>
    <w:rsid w:val="001248DB"/>
    <w:rsid w:val="0012629F"/>
    <w:rsid w:val="00130E6F"/>
    <w:rsid w:val="00130EE4"/>
    <w:rsid w:val="001336C1"/>
    <w:rsid w:val="00143873"/>
    <w:rsid w:val="001446FA"/>
    <w:rsid w:val="00146D17"/>
    <w:rsid w:val="001479A1"/>
    <w:rsid w:val="00150654"/>
    <w:rsid w:val="00150B7D"/>
    <w:rsid w:val="00154ED4"/>
    <w:rsid w:val="00157A82"/>
    <w:rsid w:val="001602EA"/>
    <w:rsid w:val="001623F7"/>
    <w:rsid w:val="001633D3"/>
    <w:rsid w:val="00172E31"/>
    <w:rsid w:val="00175BC4"/>
    <w:rsid w:val="001939FB"/>
    <w:rsid w:val="001A40A6"/>
    <w:rsid w:val="001B2A56"/>
    <w:rsid w:val="001C03A6"/>
    <w:rsid w:val="001C38EA"/>
    <w:rsid w:val="001C3ED1"/>
    <w:rsid w:val="001C411C"/>
    <w:rsid w:val="001D084D"/>
    <w:rsid w:val="001D6DA3"/>
    <w:rsid w:val="001D7E2A"/>
    <w:rsid w:val="001E3C7E"/>
    <w:rsid w:val="001F1103"/>
    <w:rsid w:val="001F2FEE"/>
    <w:rsid w:val="001F3320"/>
    <w:rsid w:val="00200DCC"/>
    <w:rsid w:val="002031CD"/>
    <w:rsid w:val="002103E7"/>
    <w:rsid w:val="00213D71"/>
    <w:rsid w:val="00222DA1"/>
    <w:rsid w:val="00223CA9"/>
    <w:rsid w:val="0022480F"/>
    <w:rsid w:val="002408BB"/>
    <w:rsid w:val="002437C8"/>
    <w:rsid w:val="002453A8"/>
    <w:rsid w:val="00247AB4"/>
    <w:rsid w:val="002512B1"/>
    <w:rsid w:val="002512B2"/>
    <w:rsid w:val="002520AF"/>
    <w:rsid w:val="00255395"/>
    <w:rsid w:val="00274050"/>
    <w:rsid w:val="00276E79"/>
    <w:rsid w:val="002848D1"/>
    <w:rsid w:val="002855C4"/>
    <w:rsid w:val="002932D6"/>
    <w:rsid w:val="002956ED"/>
    <w:rsid w:val="002A652E"/>
    <w:rsid w:val="002C3673"/>
    <w:rsid w:val="002D6489"/>
    <w:rsid w:val="002D65B2"/>
    <w:rsid w:val="002E257D"/>
    <w:rsid w:val="002F07C2"/>
    <w:rsid w:val="002F328D"/>
    <w:rsid w:val="002F5485"/>
    <w:rsid w:val="002F78C4"/>
    <w:rsid w:val="00301AB6"/>
    <w:rsid w:val="00320F5F"/>
    <w:rsid w:val="00323EAA"/>
    <w:rsid w:val="00336749"/>
    <w:rsid w:val="00337DF4"/>
    <w:rsid w:val="00337F7C"/>
    <w:rsid w:val="00341C7E"/>
    <w:rsid w:val="0034210C"/>
    <w:rsid w:val="0034697B"/>
    <w:rsid w:val="0034717D"/>
    <w:rsid w:val="00347731"/>
    <w:rsid w:val="003563CB"/>
    <w:rsid w:val="00362ADC"/>
    <w:rsid w:val="00365E5D"/>
    <w:rsid w:val="00367213"/>
    <w:rsid w:val="0037524A"/>
    <w:rsid w:val="0037620B"/>
    <w:rsid w:val="003770BB"/>
    <w:rsid w:val="00380C89"/>
    <w:rsid w:val="00381F45"/>
    <w:rsid w:val="00387DF4"/>
    <w:rsid w:val="00390F1C"/>
    <w:rsid w:val="003922F9"/>
    <w:rsid w:val="0039437F"/>
    <w:rsid w:val="003A1C6F"/>
    <w:rsid w:val="003A280C"/>
    <w:rsid w:val="003A3770"/>
    <w:rsid w:val="003A4B6C"/>
    <w:rsid w:val="003A7205"/>
    <w:rsid w:val="003B16F7"/>
    <w:rsid w:val="003B3B6A"/>
    <w:rsid w:val="003B65D0"/>
    <w:rsid w:val="003B7724"/>
    <w:rsid w:val="003C1665"/>
    <w:rsid w:val="003C18FD"/>
    <w:rsid w:val="003C700D"/>
    <w:rsid w:val="003D013D"/>
    <w:rsid w:val="003D6E51"/>
    <w:rsid w:val="003E3C14"/>
    <w:rsid w:val="003E6031"/>
    <w:rsid w:val="004017D1"/>
    <w:rsid w:val="004029D8"/>
    <w:rsid w:val="00402F84"/>
    <w:rsid w:val="00406858"/>
    <w:rsid w:val="00407A32"/>
    <w:rsid w:val="004111FE"/>
    <w:rsid w:val="00414F54"/>
    <w:rsid w:val="00420CA8"/>
    <w:rsid w:val="004220E4"/>
    <w:rsid w:val="00426232"/>
    <w:rsid w:val="0043044F"/>
    <w:rsid w:val="0044304B"/>
    <w:rsid w:val="00444F7D"/>
    <w:rsid w:val="00446247"/>
    <w:rsid w:val="004465D6"/>
    <w:rsid w:val="00452C4A"/>
    <w:rsid w:val="00456B13"/>
    <w:rsid w:val="00457746"/>
    <w:rsid w:val="00457FCD"/>
    <w:rsid w:val="00463623"/>
    <w:rsid w:val="00464759"/>
    <w:rsid w:val="00470427"/>
    <w:rsid w:val="00472159"/>
    <w:rsid w:val="004837C0"/>
    <w:rsid w:val="00484D0D"/>
    <w:rsid w:val="00485D8C"/>
    <w:rsid w:val="00496E86"/>
    <w:rsid w:val="00497452"/>
    <w:rsid w:val="004A2534"/>
    <w:rsid w:val="004A656A"/>
    <w:rsid w:val="004B54A7"/>
    <w:rsid w:val="004B65D0"/>
    <w:rsid w:val="004C3FE7"/>
    <w:rsid w:val="004C660A"/>
    <w:rsid w:val="004D0621"/>
    <w:rsid w:val="004D3684"/>
    <w:rsid w:val="004D55D2"/>
    <w:rsid w:val="004E22A5"/>
    <w:rsid w:val="004E23CA"/>
    <w:rsid w:val="004E59A8"/>
    <w:rsid w:val="004F01F2"/>
    <w:rsid w:val="004F0FE4"/>
    <w:rsid w:val="004F2DF5"/>
    <w:rsid w:val="00505F7D"/>
    <w:rsid w:val="00513A41"/>
    <w:rsid w:val="00517AD4"/>
    <w:rsid w:val="00522676"/>
    <w:rsid w:val="00523BA9"/>
    <w:rsid w:val="00525162"/>
    <w:rsid w:val="0053059A"/>
    <w:rsid w:val="005328AF"/>
    <w:rsid w:val="00532930"/>
    <w:rsid w:val="00550F73"/>
    <w:rsid w:val="00552D19"/>
    <w:rsid w:val="00552F7F"/>
    <w:rsid w:val="005676E6"/>
    <w:rsid w:val="0057067B"/>
    <w:rsid w:val="00570E62"/>
    <w:rsid w:val="0057481A"/>
    <w:rsid w:val="00590349"/>
    <w:rsid w:val="00593901"/>
    <w:rsid w:val="0059410C"/>
    <w:rsid w:val="005962EA"/>
    <w:rsid w:val="005A64D0"/>
    <w:rsid w:val="005B2F36"/>
    <w:rsid w:val="005B61AF"/>
    <w:rsid w:val="005B6BA5"/>
    <w:rsid w:val="005C4440"/>
    <w:rsid w:val="005C4840"/>
    <w:rsid w:val="005C4AE1"/>
    <w:rsid w:val="005D3AB6"/>
    <w:rsid w:val="005D4F8C"/>
    <w:rsid w:val="005D596B"/>
    <w:rsid w:val="005D59E7"/>
    <w:rsid w:val="005E5BE3"/>
    <w:rsid w:val="005E6566"/>
    <w:rsid w:val="005E7677"/>
    <w:rsid w:val="005F0998"/>
    <w:rsid w:val="005F4471"/>
    <w:rsid w:val="005F645E"/>
    <w:rsid w:val="006015AE"/>
    <w:rsid w:val="00604FD4"/>
    <w:rsid w:val="0061194F"/>
    <w:rsid w:val="00617096"/>
    <w:rsid w:val="0062634E"/>
    <w:rsid w:val="0063340A"/>
    <w:rsid w:val="0063347E"/>
    <w:rsid w:val="00645A96"/>
    <w:rsid w:val="00645B35"/>
    <w:rsid w:val="00646CB2"/>
    <w:rsid w:val="00653B03"/>
    <w:rsid w:val="00655C31"/>
    <w:rsid w:val="0065628C"/>
    <w:rsid w:val="00661B5C"/>
    <w:rsid w:val="00662057"/>
    <w:rsid w:val="00673AD4"/>
    <w:rsid w:val="00683F65"/>
    <w:rsid w:val="0068679D"/>
    <w:rsid w:val="0069053D"/>
    <w:rsid w:val="006944D3"/>
    <w:rsid w:val="006A043D"/>
    <w:rsid w:val="006A3571"/>
    <w:rsid w:val="006A47BE"/>
    <w:rsid w:val="006A536B"/>
    <w:rsid w:val="006A5D01"/>
    <w:rsid w:val="006A7B96"/>
    <w:rsid w:val="006B1451"/>
    <w:rsid w:val="006B1891"/>
    <w:rsid w:val="006B21FF"/>
    <w:rsid w:val="006B23F3"/>
    <w:rsid w:val="006B49A2"/>
    <w:rsid w:val="006C093A"/>
    <w:rsid w:val="006C7BBB"/>
    <w:rsid w:val="006E1CA2"/>
    <w:rsid w:val="006F36EF"/>
    <w:rsid w:val="006F5843"/>
    <w:rsid w:val="007027E8"/>
    <w:rsid w:val="007035D6"/>
    <w:rsid w:val="00704504"/>
    <w:rsid w:val="00711998"/>
    <w:rsid w:val="0071594A"/>
    <w:rsid w:val="00717DD6"/>
    <w:rsid w:val="00724D06"/>
    <w:rsid w:val="0073059F"/>
    <w:rsid w:val="0073084E"/>
    <w:rsid w:val="00730D58"/>
    <w:rsid w:val="00731E42"/>
    <w:rsid w:val="0073545D"/>
    <w:rsid w:val="00735A6E"/>
    <w:rsid w:val="00735DDD"/>
    <w:rsid w:val="0074692D"/>
    <w:rsid w:val="0075462B"/>
    <w:rsid w:val="0075486D"/>
    <w:rsid w:val="00754DC2"/>
    <w:rsid w:val="00755B62"/>
    <w:rsid w:val="00764A11"/>
    <w:rsid w:val="00764CDA"/>
    <w:rsid w:val="00766380"/>
    <w:rsid w:val="00774B0F"/>
    <w:rsid w:val="007767EB"/>
    <w:rsid w:val="00780B2A"/>
    <w:rsid w:val="0078702D"/>
    <w:rsid w:val="00790AB3"/>
    <w:rsid w:val="00793CF9"/>
    <w:rsid w:val="007975D0"/>
    <w:rsid w:val="007B0065"/>
    <w:rsid w:val="007B05C6"/>
    <w:rsid w:val="007B47AA"/>
    <w:rsid w:val="007B47F8"/>
    <w:rsid w:val="007B5504"/>
    <w:rsid w:val="007B610C"/>
    <w:rsid w:val="007C1312"/>
    <w:rsid w:val="007C769C"/>
    <w:rsid w:val="007D0FAC"/>
    <w:rsid w:val="007D2981"/>
    <w:rsid w:val="007D5AFF"/>
    <w:rsid w:val="007E0B22"/>
    <w:rsid w:val="007E5128"/>
    <w:rsid w:val="007E704B"/>
    <w:rsid w:val="007E7515"/>
    <w:rsid w:val="008109EB"/>
    <w:rsid w:val="00827E1B"/>
    <w:rsid w:val="00831EA6"/>
    <w:rsid w:val="00844641"/>
    <w:rsid w:val="0085306E"/>
    <w:rsid w:val="008566E2"/>
    <w:rsid w:val="00856947"/>
    <w:rsid w:val="00856A84"/>
    <w:rsid w:val="00860997"/>
    <w:rsid w:val="00862230"/>
    <w:rsid w:val="008623D1"/>
    <w:rsid w:val="00866BB5"/>
    <w:rsid w:val="0087401C"/>
    <w:rsid w:val="00877D28"/>
    <w:rsid w:val="00881716"/>
    <w:rsid w:val="008820A4"/>
    <w:rsid w:val="0088372B"/>
    <w:rsid w:val="0088605D"/>
    <w:rsid w:val="00891CBE"/>
    <w:rsid w:val="0089265A"/>
    <w:rsid w:val="0089366A"/>
    <w:rsid w:val="00895F29"/>
    <w:rsid w:val="008A0E49"/>
    <w:rsid w:val="008B471F"/>
    <w:rsid w:val="008B56E1"/>
    <w:rsid w:val="008B5884"/>
    <w:rsid w:val="008B6920"/>
    <w:rsid w:val="008C01E7"/>
    <w:rsid w:val="008C6F22"/>
    <w:rsid w:val="008C71F0"/>
    <w:rsid w:val="008D1A5F"/>
    <w:rsid w:val="008D3CE7"/>
    <w:rsid w:val="008E0146"/>
    <w:rsid w:val="008E031E"/>
    <w:rsid w:val="008E0EBE"/>
    <w:rsid w:val="008E147E"/>
    <w:rsid w:val="008E5287"/>
    <w:rsid w:val="008F13CE"/>
    <w:rsid w:val="008F34D5"/>
    <w:rsid w:val="008F46F4"/>
    <w:rsid w:val="008F57F5"/>
    <w:rsid w:val="008F65ED"/>
    <w:rsid w:val="00904561"/>
    <w:rsid w:val="009048C7"/>
    <w:rsid w:val="0091154C"/>
    <w:rsid w:val="00912E9D"/>
    <w:rsid w:val="00913D29"/>
    <w:rsid w:val="00924AAE"/>
    <w:rsid w:val="00924B07"/>
    <w:rsid w:val="00935A67"/>
    <w:rsid w:val="009517E1"/>
    <w:rsid w:val="009526D2"/>
    <w:rsid w:val="00975DDC"/>
    <w:rsid w:val="00983DCC"/>
    <w:rsid w:val="00983F77"/>
    <w:rsid w:val="009843E7"/>
    <w:rsid w:val="00990961"/>
    <w:rsid w:val="009913C9"/>
    <w:rsid w:val="00993D9F"/>
    <w:rsid w:val="0099731F"/>
    <w:rsid w:val="009A02B2"/>
    <w:rsid w:val="009A4AC9"/>
    <w:rsid w:val="009A50DB"/>
    <w:rsid w:val="009A774B"/>
    <w:rsid w:val="009B1BEA"/>
    <w:rsid w:val="009C1FB6"/>
    <w:rsid w:val="009C3898"/>
    <w:rsid w:val="009C7774"/>
    <w:rsid w:val="009D0CC5"/>
    <w:rsid w:val="009D28CC"/>
    <w:rsid w:val="009D3E03"/>
    <w:rsid w:val="009D505D"/>
    <w:rsid w:val="009E2F65"/>
    <w:rsid w:val="009E47D2"/>
    <w:rsid w:val="009E4FD9"/>
    <w:rsid w:val="009F3231"/>
    <w:rsid w:val="009F54DB"/>
    <w:rsid w:val="009F5934"/>
    <w:rsid w:val="00A248EC"/>
    <w:rsid w:val="00A26766"/>
    <w:rsid w:val="00A2695C"/>
    <w:rsid w:val="00A26B0D"/>
    <w:rsid w:val="00A31571"/>
    <w:rsid w:val="00A323F1"/>
    <w:rsid w:val="00A36421"/>
    <w:rsid w:val="00A37721"/>
    <w:rsid w:val="00A41B5A"/>
    <w:rsid w:val="00A44925"/>
    <w:rsid w:val="00A45EFD"/>
    <w:rsid w:val="00A5166F"/>
    <w:rsid w:val="00A567C1"/>
    <w:rsid w:val="00A62447"/>
    <w:rsid w:val="00A665C7"/>
    <w:rsid w:val="00A70B96"/>
    <w:rsid w:val="00A72664"/>
    <w:rsid w:val="00A77BD2"/>
    <w:rsid w:val="00A80456"/>
    <w:rsid w:val="00A847F0"/>
    <w:rsid w:val="00A90BFD"/>
    <w:rsid w:val="00A92372"/>
    <w:rsid w:val="00A964E9"/>
    <w:rsid w:val="00AB561E"/>
    <w:rsid w:val="00AB6805"/>
    <w:rsid w:val="00AD0F5E"/>
    <w:rsid w:val="00AD52CD"/>
    <w:rsid w:val="00AD5A27"/>
    <w:rsid w:val="00AD7175"/>
    <w:rsid w:val="00AF102A"/>
    <w:rsid w:val="00B03648"/>
    <w:rsid w:val="00B04A29"/>
    <w:rsid w:val="00B15173"/>
    <w:rsid w:val="00B15945"/>
    <w:rsid w:val="00B20631"/>
    <w:rsid w:val="00B272A2"/>
    <w:rsid w:val="00B311A8"/>
    <w:rsid w:val="00B311C0"/>
    <w:rsid w:val="00B345BE"/>
    <w:rsid w:val="00B36AFB"/>
    <w:rsid w:val="00B40261"/>
    <w:rsid w:val="00B40F05"/>
    <w:rsid w:val="00B417DF"/>
    <w:rsid w:val="00B4233E"/>
    <w:rsid w:val="00B435D6"/>
    <w:rsid w:val="00B56DED"/>
    <w:rsid w:val="00B643E1"/>
    <w:rsid w:val="00B66C28"/>
    <w:rsid w:val="00B7413D"/>
    <w:rsid w:val="00B862EA"/>
    <w:rsid w:val="00B9317F"/>
    <w:rsid w:val="00B95EB9"/>
    <w:rsid w:val="00B966CC"/>
    <w:rsid w:val="00BA02B3"/>
    <w:rsid w:val="00BC7CE3"/>
    <w:rsid w:val="00BF3240"/>
    <w:rsid w:val="00C046F2"/>
    <w:rsid w:val="00C04D20"/>
    <w:rsid w:val="00C060E7"/>
    <w:rsid w:val="00C2136F"/>
    <w:rsid w:val="00C248C8"/>
    <w:rsid w:val="00C25FFE"/>
    <w:rsid w:val="00C27819"/>
    <w:rsid w:val="00C27F1F"/>
    <w:rsid w:val="00C30925"/>
    <w:rsid w:val="00C31A1A"/>
    <w:rsid w:val="00C31E2B"/>
    <w:rsid w:val="00C33634"/>
    <w:rsid w:val="00C37271"/>
    <w:rsid w:val="00C45345"/>
    <w:rsid w:val="00C47494"/>
    <w:rsid w:val="00C51C34"/>
    <w:rsid w:val="00C52652"/>
    <w:rsid w:val="00C539BB"/>
    <w:rsid w:val="00C545EA"/>
    <w:rsid w:val="00C549BB"/>
    <w:rsid w:val="00C557EA"/>
    <w:rsid w:val="00C80F8D"/>
    <w:rsid w:val="00C85DCB"/>
    <w:rsid w:val="00C85F8B"/>
    <w:rsid w:val="00C9366F"/>
    <w:rsid w:val="00C94063"/>
    <w:rsid w:val="00C942EE"/>
    <w:rsid w:val="00C94FC8"/>
    <w:rsid w:val="00C96CAE"/>
    <w:rsid w:val="00CA4D95"/>
    <w:rsid w:val="00CB3F9C"/>
    <w:rsid w:val="00CB59B3"/>
    <w:rsid w:val="00CC0D5E"/>
    <w:rsid w:val="00CC1E81"/>
    <w:rsid w:val="00CC2B38"/>
    <w:rsid w:val="00CC453C"/>
    <w:rsid w:val="00CC584C"/>
    <w:rsid w:val="00CD0967"/>
    <w:rsid w:val="00CD13C3"/>
    <w:rsid w:val="00CE5985"/>
    <w:rsid w:val="00CF181A"/>
    <w:rsid w:val="00CF689C"/>
    <w:rsid w:val="00D04185"/>
    <w:rsid w:val="00D072D3"/>
    <w:rsid w:val="00D073A3"/>
    <w:rsid w:val="00D07AF3"/>
    <w:rsid w:val="00D203F2"/>
    <w:rsid w:val="00D21723"/>
    <w:rsid w:val="00D23C0F"/>
    <w:rsid w:val="00D27725"/>
    <w:rsid w:val="00D33FC8"/>
    <w:rsid w:val="00D356EA"/>
    <w:rsid w:val="00D44ACD"/>
    <w:rsid w:val="00D4569A"/>
    <w:rsid w:val="00D52799"/>
    <w:rsid w:val="00D529E8"/>
    <w:rsid w:val="00D56D64"/>
    <w:rsid w:val="00D66B06"/>
    <w:rsid w:val="00D73C6C"/>
    <w:rsid w:val="00D76DCB"/>
    <w:rsid w:val="00D7797D"/>
    <w:rsid w:val="00D84E1B"/>
    <w:rsid w:val="00D86C17"/>
    <w:rsid w:val="00D93729"/>
    <w:rsid w:val="00D94F96"/>
    <w:rsid w:val="00DA6897"/>
    <w:rsid w:val="00DB019B"/>
    <w:rsid w:val="00DC61ED"/>
    <w:rsid w:val="00DD2542"/>
    <w:rsid w:val="00DD2F42"/>
    <w:rsid w:val="00DD73FF"/>
    <w:rsid w:val="00DD7573"/>
    <w:rsid w:val="00DE2EFA"/>
    <w:rsid w:val="00DE6785"/>
    <w:rsid w:val="00E0587A"/>
    <w:rsid w:val="00E07581"/>
    <w:rsid w:val="00E07702"/>
    <w:rsid w:val="00E159CC"/>
    <w:rsid w:val="00E177F8"/>
    <w:rsid w:val="00E25161"/>
    <w:rsid w:val="00E31495"/>
    <w:rsid w:val="00E34EAD"/>
    <w:rsid w:val="00E42287"/>
    <w:rsid w:val="00E42DAC"/>
    <w:rsid w:val="00E45E4A"/>
    <w:rsid w:val="00E52361"/>
    <w:rsid w:val="00E53D7B"/>
    <w:rsid w:val="00E60B45"/>
    <w:rsid w:val="00E60E2E"/>
    <w:rsid w:val="00E6179A"/>
    <w:rsid w:val="00E7288F"/>
    <w:rsid w:val="00E75D64"/>
    <w:rsid w:val="00E80079"/>
    <w:rsid w:val="00E80CBB"/>
    <w:rsid w:val="00E83EF7"/>
    <w:rsid w:val="00E863CD"/>
    <w:rsid w:val="00E87132"/>
    <w:rsid w:val="00E95FA9"/>
    <w:rsid w:val="00E96C9A"/>
    <w:rsid w:val="00EA2655"/>
    <w:rsid w:val="00EA3375"/>
    <w:rsid w:val="00EA460B"/>
    <w:rsid w:val="00EA67F3"/>
    <w:rsid w:val="00EB2903"/>
    <w:rsid w:val="00EB6F54"/>
    <w:rsid w:val="00EC0E35"/>
    <w:rsid w:val="00EC1935"/>
    <w:rsid w:val="00EC4817"/>
    <w:rsid w:val="00ED1C09"/>
    <w:rsid w:val="00ED276D"/>
    <w:rsid w:val="00ED47C9"/>
    <w:rsid w:val="00ED51CC"/>
    <w:rsid w:val="00ED79D3"/>
    <w:rsid w:val="00EE0262"/>
    <w:rsid w:val="00EE201B"/>
    <w:rsid w:val="00EE5E2A"/>
    <w:rsid w:val="00EF1E2C"/>
    <w:rsid w:val="00EF7647"/>
    <w:rsid w:val="00EF7E18"/>
    <w:rsid w:val="00F0391F"/>
    <w:rsid w:val="00F07D69"/>
    <w:rsid w:val="00F1038E"/>
    <w:rsid w:val="00F12D5C"/>
    <w:rsid w:val="00F16215"/>
    <w:rsid w:val="00F24866"/>
    <w:rsid w:val="00F263E1"/>
    <w:rsid w:val="00F34138"/>
    <w:rsid w:val="00F42C1A"/>
    <w:rsid w:val="00F469B5"/>
    <w:rsid w:val="00F5071A"/>
    <w:rsid w:val="00F55397"/>
    <w:rsid w:val="00F57DAF"/>
    <w:rsid w:val="00F631F0"/>
    <w:rsid w:val="00F67A80"/>
    <w:rsid w:val="00F752D9"/>
    <w:rsid w:val="00F820BA"/>
    <w:rsid w:val="00F82F29"/>
    <w:rsid w:val="00F861C9"/>
    <w:rsid w:val="00F87279"/>
    <w:rsid w:val="00F95335"/>
    <w:rsid w:val="00FA1538"/>
    <w:rsid w:val="00FA1858"/>
    <w:rsid w:val="00FA4A3F"/>
    <w:rsid w:val="00FA72E3"/>
    <w:rsid w:val="00FB5CD3"/>
    <w:rsid w:val="00FC14AE"/>
    <w:rsid w:val="00FC2D5C"/>
    <w:rsid w:val="00FC2F14"/>
    <w:rsid w:val="00FD1326"/>
    <w:rsid w:val="00FD21BE"/>
    <w:rsid w:val="00FD2AE5"/>
    <w:rsid w:val="00FE023A"/>
    <w:rsid w:val="00FE218D"/>
    <w:rsid w:val="00FE36B6"/>
    <w:rsid w:val="00FE6137"/>
    <w:rsid w:val="00FF7A63"/>
    <w:rsid w:val="04AECA51"/>
    <w:rsid w:val="053EAB61"/>
    <w:rsid w:val="0A5BFC30"/>
    <w:rsid w:val="0B1FDF07"/>
    <w:rsid w:val="0F203E2F"/>
    <w:rsid w:val="11529B98"/>
    <w:rsid w:val="131DE399"/>
    <w:rsid w:val="1520595C"/>
    <w:rsid w:val="15DCAE50"/>
    <w:rsid w:val="1632CC5C"/>
    <w:rsid w:val="19CDEF3F"/>
    <w:rsid w:val="1B229C75"/>
    <w:rsid w:val="1EAE1345"/>
    <w:rsid w:val="1FE1A0A6"/>
    <w:rsid w:val="230FEA06"/>
    <w:rsid w:val="24823206"/>
    <w:rsid w:val="25CD74A3"/>
    <w:rsid w:val="274C93AE"/>
    <w:rsid w:val="2898BD8A"/>
    <w:rsid w:val="2DC1C8FB"/>
    <w:rsid w:val="2E2B9378"/>
    <w:rsid w:val="2E75BCCC"/>
    <w:rsid w:val="325C0CB2"/>
    <w:rsid w:val="33F2C78E"/>
    <w:rsid w:val="35066184"/>
    <w:rsid w:val="357BACA5"/>
    <w:rsid w:val="360DCC6F"/>
    <w:rsid w:val="3815FECA"/>
    <w:rsid w:val="3A036C7D"/>
    <w:rsid w:val="3FC50251"/>
    <w:rsid w:val="40495AAF"/>
    <w:rsid w:val="413EA95F"/>
    <w:rsid w:val="45819887"/>
    <w:rsid w:val="481B75A1"/>
    <w:rsid w:val="486B3CEB"/>
    <w:rsid w:val="49CD9A50"/>
    <w:rsid w:val="49E59EC4"/>
    <w:rsid w:val="4C0EB598"/>
    <w:rsid w:val="4F4E2B4A"/>
    <w:rsid w:val="4F5DF504"/>
    <w:rsid w:val="507BDB61"/>
    <w:rsid w:val="53A99974"/>
    <w:rsid w:val="541FBA49"/>
    <w:rsid w:val="5478FE67"/>
    <w:rsid w:val="5564BCCC"/>
    <w:rsid w:val="57AFF979"/>
    <w:rsid w:val="57B36626"/>
    <w:rsid w:val="5B4FC2DF"/>
    <w:rsid w:val="5C6C9801"/>
    <w:rsid w:val="5D3BA05E"/>
    <w:rsid w:val="5E117790"/>
    <w:rsid w:val="5E8763A1"/>
    <w:rsid w:val="5EAFB921"/>
    <w:rsid w:val="602DB167"/>
    <w:rsid w:val="61D3EBAA"/>
    <w:rsid w:val="63002CCE"/>
    <w:rsid w:val="66934DFF"/>
    <w:rsid w:val="6743EA32"/>
    <w:rsid w:val="68372FA8"/>
    <w:rsid w:val="6A3085D3"/>
    <w:rsid w:val="6A402998"/>
    <w:rsid w:val="6C4188F1"/>
    <w:rsid w:val="6D15E67C"/>
    <w:rsid w:val="6D9D82CA"/>
    <w:rsid w:val="6DE72A1C"/>
    <w:rsid w:val="6EA574F1"/>
    <w:rsid w:val="7164089D"/>
    <w:rsid w:val="71DD15B3"/>
    <w:rsid w:val="724BB972"/>
    <w:rsid w:val="7250C086"/>
    <w:rsid w:val="75255A46"/>
    <w:rsid w:val="75E8F5F8"/>
    <w:rsid w:val="76975E79"/>
    <w:rsid w:val="76B7C92C"/>
    <w:rsid w:val="789C8854"/>
    <w:rsid w:val="7A9AD915"/>
    <w:rsid w:val="7BFA9362"/>
    <w:rsid w:val="7CC227EF"/>
    <w:rsid w:val="7D5C4B7C"/>
    <w:rsid w:val="7D70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DBD12"/>
  <w15:chartTrackingRefBased/>
  <w15:docId w15:val="{C3992E0B-9CD0-43CA-954B-FB18D316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0BA"/>
    <w:rPr>
      <w:sz w:val="24"/>
    </w:rPr>
  </w:style>
  <w:style w:type="paragraph" w:styleId="Heading1">
    <w:name w:val="heading 1"/>
    <w:next w:val="Normal"/>
    <w:link w:val="Heading1Char"/>
    <w:uiPriority w:val="9"/>
    <w:qFormat/>
    <w:rsid w:val="00B311C0"/>
    <w:pPr>
      <w:spacing w:before="80" w:after="0"/>
      <w:outlineLvl w:val="0"/>
    </w:pPr>
    <w:rPr>
      <w:rFonts w:eastAsiaTheme="majorEastAsia" w:cstheme="majorBidi"/>
      <w:caps/>
      <w:sz w:val="56"/>
      <w:szCs w:val="26"/>
    </w:rPr>
  </w:style>
  <w:style w:type="paragraph" w:styleId="Heading2">
    <w:name w:val="heading 2"/>
    <w:basedOn w:val="Normal"/>
    <w:next w:val="Normal"/>
    <w:link w:val="Heading2Char"/>
    <w:uiPriority w:val="9"/>
    <w:unhideWhenUsed/>
    <w:qFormat/>
    <w:rsid w:val="00B311C0"/>
    <w:pPr>
      <w:keepNext/>
      <w:keepLines/>
      <w:spacing w:before="40" w:after="0"/>
      <w:outlineLvl w:val="1"/>
    </w:pPr>
    <w:rPr>
      <w:rFonts w:asciiTheme="majorHAnsi" w:eastAsiaTheme="majorEastAsia" w:hAnsiTheme="majorHAnsi" w:cstheme="majorBidi"/>
      <w:b/>
      <w:color w:val="2F5496" w:themeColor="accent1" w:themeShade="BF"/>
      <w:sz w:val="28"/>
      <w:szCs w:val="24"/>
    </w:rPr>
  </w:style>
  <w:style w:type="paragraph" w:styleId="Heading3">
    <w:name w:val="heading 3"/>
    <w:basedOn w:val="Normal"/>
    <w:next w:val="Normal"/>
    <w:link w:val="Heading3Char"/>
    <w:uiPriority w:val="9"/>
    <w:unhideWhenUsed/>
    <w:qFormat/>
    <w:rsid w:val="00B311C0"/>
    <w:pPr>
      <w:keepNext/>
      <w:keepLines/>
      <w:spacing w:before="40" w:after="0"/>
      <w:outlineLvl w:val="2"/>
    </w:pPr>
    <w:rPr>
      <w:rFonts w:asciiTheme="majorHAnsi" w:eastAsiaTheme="majorEastAsia" w:hAnsiTheme="majorHAnsi" w:cstheme="majorBidi"/>
      <w:color w:val="1F3864" w:themeColor="accent1" w:themeShade="80"/>
      <w:sz w:val="26"/>
      <w:szCs w:val="24"/>
    </w:rPr>
  </w:style>
  <w:style w:type="paragraph" w:styleId="Heading4">
    <w:name w:val="heading 4"/>
    <w:basedOn w:val="Normal"/>
    <w:next w:val="Normal"/>
    <w:link w:val="Heading4Char"/>
    <w:uiPriority w:val="9"/>
    <w:unhideWhenUsed/>
    <w:qFormat/>
    <w:rsid w:val="00B311C0"/>
    <w:pPr>
      <w:keepNext/>
      <w:keepLines/>
      <w:spacing w:before="40" w:after="0"/>
      <w:outlineLvl w:val="3"/>
    </w:pPr>
    <w:rPr>
      <w:rFonts w:asciiTheme="majorHAnsi" w:eastAsiaTheme="majorEastAsia" w:hAnsiTheme="majorHAnsi" w:cstheme="majorBidi"/>
      <w:b/>
    </w:rPr>
  </w:style>
  <w:style w:type="paragraph" w:styleId="Heading5">
    <w:name w:val="heading 5"/>
    <w:basedOn w:val="Normal"/>
    <w:next w:val="Normal"/>
    <w:link w:val="Heading5Char"/>
    <w:uiPriority w:val="9"/>
    <w:unhideWhenUsed/>
    <w:rsid w:val="00924AAE"/>
    <w:pPr>
      <w:keepNext/>
      <w:keepLines/>
      <w:spacing w:before="40" w:after="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0AB3"/>
    <w:pPr>
      <w:spacing w:before="80" w:after="0" w:line="240" w:lineRule="auto"/>
      <w:contextualSpacing/>
    </w:pPr>
    <w:rPr>
      <w:rFonts w:eastAsiaTheme="majorEastAsia" w:cstheme="majorBidi"/>
      <w:caps/>
      <w:spacing w:val="-10"/>
      <w:kern w:val="28"/>
      <w:sz w:val="56"/>
      <w:szCs w:val="56"/>
    </w:rPr>
  </w:style>
  <w:style w:type="character" w:customStyle="1" w:styleId="TitleChar">
    <w:name w:val="Title Char"/>
    <w:basedOn w:val="DefaultParagraphFont"/>
    <w:link w:val="Title"/>
    <w:uiPriority w:val="10"/>
    <w:rsid w:val="00790AB3"/>
    <w:rPr>
      <w:rFonts w:eastAsiaTheme="majorEastAsia" w:cstheme="majorBidi"/>
      <w:caps/>
      <w:spacing w:val="-10"/>
      <w:kern w:val="28"/>
      <w:sz w:val="56"/>
      <w:szCs w:val="56"/>
    </w:rPr>
  </w:style>
  <w:style w:type="character" w:customStyle="1" w:styleId="Heading1Char">
    <w:name w:val="Heading 1 Char"/>
    <w:basedOn w:val="DefaultParagraphFont"/>
    <w:link w:val="Heading1"/>
    <w:uiPriority w:val="9"/>
    <w:rsid w:val="00B311C0"/>
    <w:rPr>
      <w:rFonts w:eastAsiaTheme="majorEastAsia" w:cstheme="majorBidi"/>
      <w:caps/>
      <w:sz w:val="56"/>
      <w:szCs w:val="26"/>
    </w:rPr>
  </w:style>
  <w:style w:type="character" w:styleId="Hyperlink">
    <w:name w:val="Hyperlink"/>
    <w:basedOn w:val="DefaultParagraphFont"/>
    <w:uiPriority w:val="99"/>
    <w:unhideWhenUsed/>
    <w:rsid w:val="009B1BEA"/>
    <w:rPr>
      <w:color w:val="0563C1" w:themeColor="hyperlink"/>
      <w:u w:val="single"/>
    </w:rPr>
  </w:style>
  <w:style w:type="character" w:styleId="UnresolvedMention">
    <w:name w:val="Unresolved Mention"/>
    <w:basedOn w:val="DefaultParagraphFont"/>
    <w:uiPriority w:val="99"/>
    <w:semiHidden/>
    <w:unhideWhenUsed/>
    <w:rsid w:val="009B1BEA"/>
    <w:rPr>
      <w:color w:val="605E5C"/>
      <w:shd w:val="clear" w:color="auto" w:fill="E1DFDD"/>
    </w:rPr>
  </w:style>
  <w:style w:type="paragraph" w:styleId="Header">
    <w:name w:val="header"/>
    <w:basedOn w:val="Normal"/>
    <w:link w:val="HeaderChar"/>
    <w:uiPriority w:val="99"/>
    <w:unhideWhenUsed/>
    <w:rsid w:val="00E31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495"/>
  </w:style>
  <w:style w:type="paragraph" w:styleId="Footer">
    <w:name w:val="footer"/>
    <w:basedOn w:val="Normal"/>
    <w:link w:val="FooterChar"/>
    <w:uiPriority w:val="99"/>
    <w:unhideWhenUsed/>
    <w:rsid w:val="00E31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495"/>
  </w:style>
  <w:style w:type="paragraph" w:styleId="ListParagraph">
    <w:name w:val="List Paragraph"/>
    <w:basedOn w:val="Normal"/>
    <w:uiPriority w:val="34"/>
    <w:rsid w:val="0057067B"/>
    <w:pPr>
      <w:ind w:left="720"/>
      <w:contextualSpacing/>
    </w:pPr>
  </w:style>
  <w:style w:type="table" w:styleId="TableGrid">
    <w:name w:val="Table Grid"/>
    <w:basedOn w:val="TableNormal"/>
    <w:uiPriority w:val="39"/>
    <w:rsid w:val="00E61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311C0"/>
    <w:rPr>
      <w:rFonts w:asciiTheme="majorHAnsi" w:eastAsiaTheme="majorEastAsia" w:hAnsiTheme="majorHAnsi" w:cstheme="majorBidi"/>
      <w:b/>
      <w:color w:val="2F5496" w:themeColor="accent1" w:themeShade="BF"/>
      <w:sz w:val="28"/>
      <w:szCs w:val="24"/>
    </w:rPr>
  </w:style>
  <w:style w:type="character" w:styleId="CommentReference">
    <w:name w:val="annotation reference"/>
    <w:basedOn w:val="DefaultParagraphFont"/>
    <w:uiPriority w:val="99"/>
    <w:semiHidden/>
    <w:unhideWhenUsed/>
    <w:rsid w:val="00F0391F"/>
    <w:rPr>
      <w:sz w:val="16"/>
      <w:szCs w:val="16"/>
    </w:rPr>
  </w:style>
  <w:style w:type="paragraph" w:styleId="CommentText">
    <w:name w:val="annotation text"/>
    <w:basedOn w:val="Normal"/>
    <w:link w:val="CommentTextChar"/>
    <w:uiPriority w:val="99"/>
    <w:unhideWhenUsed/>
    <w:rsid w:val="00F0391F"/>
    <w:pPr>
      <w:spacing w:line="240" w:lineRule="auto"/>
    </w:pPr>
    <w:rPr>
      <w:sz w:val="20"/>
      <w:szCs w:val="20"/>
    </w:rPr>
  </w:style>
  <w:style w:type="character" w:customStyle="1" w:styleId="CommentTextChar">
    <w:name w:val="Comment Text Char"/>
    <w:basedOn w:val="DefaultParagraphFont"/>
    <w:link w:val="CommentText"/>
    <w:uiPriority w:val="99"/>
    <w:rsid w:val="00F0391F"/>
    <w:rPr>
      <w:sz w:val="20"/>
      <w:szCs w:val="20"/>
    </w:rPr>
  </w:style>
  <w:style w:type="paragraph" w:styleId="CommentSubject">
    <w:name w:val="annotation subject"/>
    <w:basedOn w:val="CommentText"/>
    <w:next w:val="CommentText"/>
    <w:link w:val="CommentSubjectChar"/>
    <w:uiPriority w:val="99"/>
    <w:semiHidden/>
    <w:unhideWhenUsed/>
    <w:rsid w:val="00F0391F"/>
    <w:rPr>
      <w:b/>
      <w:bCs/>
    </w:rPr>
  </w:style>
  <w:style w:type="character" w:customStyle="1" w:styleId="CommentSubjectChar">
    <w:name w:val="Comment Subject Char"/>
    <w:basedOn w:val="CommentTextChar"/>
    <w:link w:val="CommentSubject"/>
    <w:uiPriority w:val="99"/>
    <w:semiHidden/>
    <w:rsid w:val="00F0391F"/>
    <w:rPr>
      <w:b/>
      <w:bCs/>
      <w:sz w:val="20"/>
      <w:szCs w:val="20"/>
    </w:rPr>
  </w:style>
  <w:style w:type="character" w:styleId="Mention">
    <w:name w:val="Mention"/>
    <w:basedOn w:val="DefaultParagraphFont"/>
    <w:uiPriority w:val="99"/>
    <w:unhideWhenUsed/>
    <w:rsid w:val="00255395"/>
    <w:rPr>
      <w:color w:val="2B579A"/>
      <w:shd w:val="clear" w:color="auto" w:fill="E1DFDD"/>
    </w:rPr>
  </w:style>
  <w:style w:type="paragraph" w:styleId="Revision">
    <w:name w:val="Revision"/>
    <w:hidden/>
    <w:uiPriority w:val="99"/>
    <w:semiHidden/>
    <w:rsid w:val="00C04D20"/>
    <w:pPr>
      <w:spacing w:after="0" w:line="240" w:lineRule="auto"/>
    </w:pPr>
  </w:style>
  <w:style w:type="character" w:styleId="FollowedHyperlink">
    <w:name w:val="FollowedHyperlink"/>
    <w:basedOn w:val="DefaultParagraphFont"/>
    <w:uiPriority w:val="99"/>
    <w:semiHidden/>
    <w:unhideWhenUsed/>
    <w:rsid w:val="00F631F0"/>
    <w:rPr>
      <w:color w:val="954F72" w:themeColor="followedHyperlink"/>
      <w:u w:val="single"/>
    </w:rPr>
  </w:style>
  <w:style w:type="character" w:customStyle="1" w:styleId="Heading3Char">
    <w:name w:val="Heading 3 Char"/>
    <w:basedOn w:val="DefaultParagraphFont"/>
    <w:link w:val="Heading3"/>
    <w:uiPriority w:val="9"/>
    <w:rsid w:val="00B311C0"/>
    <w:rPr>
      <w:rFonts w:asciiTheme="majorHAnsi" w:eastAsiaTheme="majorEastAsia" w:hAnsiTheme="majorHAnsi" w:cstheme="majorBidi"/>
      <w:color w:val="1F3864" w:themeColor="accent1" w:themeShade="80"/>
      <w:sz w:val="26"/>
      <w:szCs w:val="24"/>
    </w:rPr>
  </w:style>
  <w:style w:type="character" w:customStyle="1" w:styleId="Heading4Char">
    <w:name w:val="Heading 4 Char"/>
    <w:basedOn w:val="DefaultParagraphFont"/>
    <w:link w:val="Heading4"/>
    <w:uiPriority w:val="9"/>
    <w:rsid w:val="00B311C0"/>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9"/>
    <w:rsid w:val="00924AAE"/>
    <w:rPr>
      <w:rFonts w:asciiTheme="majorHAnsi" w:eastAsiaTheme="majorEastAsia" w:hAnsiTheme="majorHAnsi" w:cstheme="majorBidi"/>
      <w:b/>
      <w:sz w:val="24"/>
    </w:rPr>
  </w:style>
  <w:style w:type="paragraph" w:styleId="Subtitle">
    <w:name w:val="Subtitle"/>
    <w:basedOn w:val="Normal"/>
    <w:next w:val="Normal"/>
    <w:link w:val="SubtitleChar"/>
    <w:uiPriority w:val="11"/>
    <w:qFormat/>
    <w:rsid w:val="00EE0262"/>
    <w:pPr>
      <w:numPr>
        <w:ilvl w:val="1"/>
      </w:numPr>
      <w:spacing w:after="120"/>
    </w:pPr>
    <w:rPr>
      <w:rFonts w:asciiTheme="majorHAnsi" w:eastAsiaTheme="minorEastAsia" w:hAnsiTheme="majorHAnsi"/>
      <w:b/>
      <w:caps/>
      <w:color w:val="5A5A5A" w:themeColor="text1" w:themeTint="A5"/>
      <w:spacing w:val="15"/>
      <w:sz w:val="28"/>
    </w:rPr>
  </w:style>
  <w:style w:type="character" w:customStyle="1" w:styleId="SubtitleChar">
    <w:name w:val="Subtitle Char"/>
    <w:basedOn w:val="DefaultParagraphFont"/>
    <w:link w:val="Subtitle"/>
    <w:uiPriority w:val="11"/>
    <w:rsid w:val="00EE0262"/>
    <w:rPr>
      <w:rFonts w:asciiTheme="majorHAnsi" w:eastAsiaTheme="minorEastAsia" w:hAnsiTheme="majorHAnsi"/>
      <w:b/>
      <w:caps/>
      <w:color w:val="5A5A5A" w:themeColor="text1" w:themeTint="A5"/>
      <w:spacing w:val="15"/>
      <w:sz w:val="28"/>
    </w:rPr>
  </w:style>
  <w:style w:type="character" w:styleId="SubtleEmphasis">
    <w:name w:val="Subtle Emphasis"/>
    <w:aliases w:val="Examples"/>
    <w:basedOn w:val="DefaultParagraphFont"/>
    <w:uiPriority w:val="19"/>
    <w:qFormat/>
    <w:rsid w:val="002D6489"/>
    <w:rPr>
      <w:i/>
      <w:iCs/>
      <w:color w:val="404040" w:themeColor="text1" w:themeTint="BF"/>
    </w:rPr>
  </w:style>
  <w:style w:type="paragraph" w:styleId="Quote">
    <w:name w:val="Quote"/>
    <w:basedOn w:val="Normal"/>
    <w:next w:val="Normal"/>
    <w:link w:val="QuoteChar"/>
    <w:uiPriority w:val="29"/>
    <w:rsid w:val="002D648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6489"/>
    <w:rPr>
      <w:i/>
      <w:iCs/>
      <w:color w:val="404040" w:themeColor="text1" w:themeTint="BF"/>
    </w:rPr>
  </w:style>
  <w:style w:type="character" w:styleId="Emphasis">
    <w:name w:val="Emphasis"/>
    <w:basedOn w:val="DefaultParagraphFont"/>
    <w:uiPriority w:val="20"/>
    <w:qFormat/>
    <w:rsid w:val="00F55397"/>
    <w:rPr>
      <w:i/>
      <w:iCs/>
    </w:rPr>
  </w:style>
  <w:style w:type="character" w:styleId="PlaceholderText">
    <w:name w:val="Placeholder Text"/>
    <w:basedOn w:val="DefaultParagraphFont"/>
    <w:uiPriority w:val="99"/>
    <w:semiHidden/>
    <w:rsid w:val="00D356EA"/>
    <w:rPr>
      <w:color w:val="666666"/>
    </w:rPr>
  </w:style>
  <w:style w:type="paragraph" w:customStyle="1" w:styleId="TableFooter">
    <w:name w:val="Table Footer"/>
    <w:link w:val="TableFooterChar"/>
    <w:rsid w:val="000901BC"/>
    <w:pPr>
      <w:spacing w:after="0" w:line="240" w:lineRule="auto"/>
      <w:contextualSpacing/>
      <w:jc w:val="center"/>
    </w:pPr>
    <w:rPr>
      <w:rFonts w:ascii="Calibri" w:hAnsi="Calibri"/>
    </w:rPr>
  </w:style>
  <w:style w:type="paragraph" w:customStyle="1" w:styleId="TableFooterRight">
    <w:name w:val="Table Footer Right"/>
    <w:basedOn w:val="TableFooter"/>
    <w:link w:val="TableFooterRightChar"/>
    <w:rsid w:val="000901BC"/>
    <w:pPr>
      <w:jc w:val="right"/>
    </w:pPr>
    <w:rPr>
      <w:rFonts w:cstheme="minorHAnsi"/>
      <w:spacing w:val="4"/>
      <w:sz w:val="20"/>
      <w:szCs w:val="20"/>
    </w:rPr>
  </w:style>
  <w:style w:type="character" w:customStyle="1" w:styleId="TableFooterChar">
    <w:name w:val="Table Footer Char"/>
    <w:basedOn w:val="DefaultParagraphFont"/>
    <w:link w:val="TableFooter"/>
    <w:rsid w:val="000901BC"/>
    <w:rPr>
      <w:rFonts w:ascii="Calibri" w:hAnsi="Calibri"/>
    </w:rPr>
  </w:style>
  <w:style w:type="character" w:customStyle="1" w:styleId="TableFooterRightChar">
    <w:name w:val="Table Footer Right Char"/>
    <w:basedOn w:val="TableFooterChar"/>
    <w:link w:val="TableFooterRight"/>
    <w:rsid w:val="000901BC"/>
    <w:rPr>
      <w:rFonts w:ascii="Calibri" w:hAnsi="Calibri" w:cstheme="minorHAnsi"/>
      <w:spacing w:val="4"/>
      <w:sz w:val="20"/>
      <w:szCs w:val="20"/>
    </w:rPr>
  </w:style>
  <w:style w:type="paragraph" w:customStyle="1" w:styleId="Logo">
    <w:name w:val="Logo"/>
    <w:link w:val="LogoChar"/>
    <w:qFormat/>
    <w:rsid w:val="00790AB3"/>
    <w:pPr>
      <w:spacing w:after="0"/>
    </w:pPr>
    <w:rPr>
      <w:rFonts w:cstheme="minorHAnsi"/>
      <w:sz w:val="20"/>
      <w:szCs w:val="20"/>
    </w:rPr>
  </w:style>
  <w:style w:type="character" w:customStyle="1" w:styleId="LogoChar">
    <w:name w:val="Logo Char"/>
    <w:basedOn w:val="DefaultParagraphFont"/>
    <w:link w:val="Logo"/>
    <w:rsid w:val="00790AB3"/>
    <w:rPr>
      <w:rFonts w:cstheme="minorHAnsi"/>
      <w:sz w:val="20"/>
      <w:szCs w:val="20"/>
    </w:rPr>
  </w:style>
  <w:style w:type="paragraph" w:customStyle="1" w:styleId="HeaderLocation">
    <w:name w:val="Header Location"/>
    <w:basedOn w:val="Normal"/>
    <w:rsid w:val="00DD73FF"/>
    <w:pPr>
      <w:spacing w:after="40" w:line="240" w:lineRule="auto"/>
      <w:jc w:val="right"/>
    </w:pPr>
    <w:rPr>
      <w:rFonts w:cstheme="minorHAnsi"/>
    </w:rPr>
  </w:style>
  <w:style w:type="paragraph" w:customStyle="1" w:styleId="TableHeaders">
    <w:name w:val="Table Headers"/>
    <w:basedOn w:val="Header"/>
    <w:rsid w:val="00337F7C"/>
    <w:pPr>
      <w:widowControl w:val="0"/>
      <w:pBdr>
        <w:bottom w:val="single" w:sz="4" w:space="1" w:color="auto"/>
      </w:pBdr>
      <w:tabs>
        <w:tab w:val="clear" w:pos="4680"/>
        <w:tab w:val="clear" w:pos="9360"/>
      </w:tabs>
    </w:pPr>
    <w:rPr>
      <w:sz w:val="2"/>
    </w:rPr>
  </w:style>
  <w:style w:type="paragraph" w:customStyle="1" w:styleId="TableFooterSpace">
    <w:name w:val="Table Footer Space"/>
    <w:basedOn w:val="Normal"/>
    <w:link w:val="TableFooterSpaceChar"/>
    <w:qFormat/>
    <w:rsid w:val="00337F7C"/>
    <w:rPr>
      <w:sz w:val="2"/>
    </w:rPr>
  </w:style>
  <w:style w:type="character" w:customStyle="1" w:styleId="TableFooterSpaceChar">
    <w:name w:val="Table Footer Space Char"/>
    <w:basedOn w:val="DefaultParagraphFont"/>
    <w:link w:val="TableFooterSpace"/>
    <w:rsid w:val="00337F7C"/>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http://www.meridiancity.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opkins\OneDrive%20-%20City%20of%20Meridian\Innovation%20Nation%20-%20Documents\CD%20Customer%20Document%20Improvements\CD%20Template%20for%20Public%20Facing%20Documents.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84e0e10-6c9c-437d-b981-29f34f397821" xsi:nil="true"/>
    <lcf76f155ced4ddcb4097134ff3c332f xmlns="c9e7ac00-95d0-46a2-afb5-871b8e68e5e7">
      <Terms xmlns="http://schemas.microsoft.com/office/infopath/2007/PartnerControls"/>
    </lcf76f155ced4ddcb4097134ff3c332f>
    <Note xmlns="c9e7ac00-95d0-46a2-afb5-871b8e68e5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5960A2E5E6CF4C80CFBC0C63758DC8" ma:contentTypeVersion="14" ma:contentTypeDescription="Create a new document." ma:contentTypeScope="" ma:versionID="d10c527b11a9ec5874ff31243c212e66">
  <xsd:schema xmlns:xsd="http://www.w3.org/2001/XMLSchema" xmlns:xs="http://www.w3.org/2001/XMLSchema" xmlns:p="http://schemas.microsoft.com/office/2006/metadata/properties" xmlns:ns2="c9e7ac00-95d0-46a2-afb5-871b8e68e5e7" xmlns:ns3="e84e0e10-6c9c-437d-b981-29f34f397821" targetNamespace="http://schemas.microsoft.com/office/2006/metadata/properties" ma:root="true" ma:fieldsID="08931f107ace9aa4c47ca3b1a65e7060" ns2:_="" ns3:_="">
    <xsd:import namespace="c9e7ac00-95d0-46a2-afb5-871b8e68e5e7"/>
    <xsd:import namespace="e84e0e10-6c9c-437d-b981-29f34f397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7ac00-95d0-46a2-afb5-871b8e68e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f9b895-25f5-419a-ba70-e923f9a165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 ma:index="20" nillable="true" ma:displayName="Note" ma:description="Add notes as necessa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e0e10-6c9c-437d-b981-29f34f3978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1f2d2a-7001-4ba3-aac7-5af26e3e8cbc}" ma:internalName="TaxCatchAll" ma:showField="CatchAllData" ma:web="e84e0e10-6c9c-437d-b981-29f34f397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8E2F1-2C00-4DD1-98CB-D3E88114E5FA}">
  <ds:schemaRefs>
    <ds:schemaRef ds:uri="http://schemas.openxmlformats.org/officeDocument/2006/bibliography"/>
  </ds:schemaRefs>
</ds:datastoreItem>
</file>

<file path=customXml/itemProps2.xml><?xml version="1.0" encoding="utf-8"?>
<ds:datastoreItem xmlns:ds="http://schemas.openxmlformats.org/officeDocument/2006/customXml" ds:itemID="{DB051649-36E9-4623-8225-90D7D4398E91}">
  <ds:schemaRefs>
    <ds:schemaRef ds:uri="http://schemas.microsoft.com/office/2006/metadata/properties"/>
    <ds:schemaRef ds:uri="http://schemas.microsoft.com/office/infopath/2007/PartnerControls"/>
    <ds:schemaRef ds:uri="e84e0e10-6c9c-437d-b981-29f34f397821"/>
    <ds:schemaRef ds:uri="c9e7ac00-95d0-46a2-afb5-871b8e68e5e7"/>
  </ds:schemaRefs>
</ds:datastoreItem>
</file>

<file path=customXml/itemProps3.xml><?xml version="1.0" encoding="utf-8"?>
<ds:datastoreItem xmlns:ds="http://schemas.openxmlformats.org/officeDocument/2006/customXml" ds:itemID="{09AC28A2-3C34-4754-9660-B1F8FFB1A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7ac00-95d0-46a2-afb5-871b8e68e5e7"/>
    <ds:schemaRef ds:uri="e84e0e10-6c9c-437d-b981-29f34f397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45A2E3-2984-4DA2-8D97-1B470C62C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 Template for Public Facing Documents</Template>
  <TotalTime>194</TotalTime>
  <Pages>4</Pages>
  <Words>1484</Words>
  <Characters>7720</Characters>
  <Application>Microsoft Office Word</Application>
  <DocSecurity>0</DocSecurity>
  <Lines>133</Lines>
  <Paragraphs>50</Paragraphs>
  <ScaleCrop>false</ScaleCrop>
  <HeadingPairs>
    <vt:vector size="2" baseType="variant">
      <vt:variant>
        <vt:lpstr>Title</vt:lpstr>
      </vt:variant>
      <vt:variant>
        <vt:i4>1</vt:i4>
      </vt:variant>
    </vt:vector>
  </HeadingPairs>
  <TitlesOfParts>
    <vt:vector size="1" baseType="lpstr">
      <vt:lpstr>CD Template</vt:lpstr>
    </vt:vector>
  </TitlesOfParts>
  <Company>City of Boise</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 Template</dc:title>
  <dc:subject/>
  <dc:creator>Kaela Hopkins</dc:creator>
  <cp:keywords/>
  <dc:description/>
  <cp:lastModifiedBy>Kaela Hopkins</cp:lastModifiedBy>
  <cp:revision>88</cp:revision>
  <cp:lastPrinted>2025-03-31T15:16:00Z</cp:lastPrinted>
  <dcterms:created xsi:type="dcterms:W3CDTF">2026-03-11T21:12:00Z</dcterms:created>
  <dcterms:modified xsi:type="dcterms:W3CDTF">2026-03-12T15:17:00Z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0x0101009F5960A2E5E6CF4C80CFBC0C63758DC8</vt:lpwstr>
  </property>
  <property fmtid="{D5CDD505-2E9C-101B-9397-08002B2CF9AE}" pid="3" name="MediaServiceImageTags">
    <vt:lpwstr/>
  </property>
  <property fmtid="{D5CDD505-2E9C-101B-9397-08002B2CF9AE}" pid="4" name="CopiedtoPROD?">
    <vt:bool>true</vt:bool>
  </property>
</Properties>
</file>